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A63E8" w14:textId="5206EEBC" w:rsidR="009E66FD" w:rsidRPr="00A21ABD" w:rsidRDefault="000D5968" w:rsidP="00E346A8">
      <w:pPr>
        <w:jc w:val="center"/>
        <w:rPr>
          <w:b/>
        </w:rPr>
      </w:pPr>
      <w:r>
        <w:rPr>
          <w:b/>
        </w:rPr>
        <w:t>HGACBUY</w:t>
      </w:r>
      <w:r w:rsidR="00E346A8">
        <w:rPr>
          <w:b/>
        </w:rPr>
        <w:t xml:space="preserve"> - </w:t>
      </w:r>
      <w:r w:rsidR="00F31624" w:rsidRPr="00A21ABD">
        <w:rPr>
          <w:b/>
        </w:rPr>
        <w:t>JOB ORDER CONTRACTING</w:t>
      </w:r>
    </w:p>
    <w:p w14:paraId="11F1BC2D" w14:textId="77777777" w:rsidR="001A1E14" w:rsidRPr="00DA7A12" w:rsidRDefault="001A1E14" w:rsidP="00760052">
      <w:pPr>
        <w:rPr>
          <w:b/>
        </w:rPr>
      </w:pPr>
    </w:p>
    <w:p w14:paraId="01CCCCBD" w14:textId="77777777" w:rsidR="001C6107" w:rsidRPr="00DA7A12" w:rsidRDefault="001C6107" w:rsidP="00760052">
      <w:pPr>
        <w:rPr>
          <w:b/>
        </w:rPr>
      </w:pPr>
      <w:r w:rsidRPr="00DA7A12">
        <w:rPr>
          <w:b/>
        </w:rPr>
        <w:t>Background</w:t>
      </w:r>
    </w:p>
    <w:p w14:paraId="28D71F97" w14:textId="64C80247" w:rsidR="001C6107" w:rsidRPr="00DA7A12" w:rsidRDefault="00A52A65" w:rsidP="00760052">
      <w:r w:rsidRPr="00DA7A12">
        <w:t>H</w:t>
      </w:r>
      <w:r w:rsidR="002C592A" w:rsidRPr="00DA7A12">
        <w:t>-</w:t>
      </w:r>
      <w:proofErr w:type="spellStart"/>
      <w:r w:rsidR="002C592A" w:rsidRPr="00DA7A12">
        <w:t>GAC</w:t>
      </w:r>
      <w:r w:rsidR="000D5968">
        <w:t>Buy</w:t>
      </w:r>
      <w:proofErr w:type="spellEnd"/>
      <w:r w:rsidR="002C592A" w:rsidRPr="00DA7A12">
        <w:t xml:space="preserve"> received and opened</w:t>
      </w:r>
      <w:r w:rsidR="003769EF">
        <w:t xml:space="preserve"> fifteen</w:t>
      </w:r>
      <w:r w:rsidR="000D7F78">
        <w:t xml:space="preserve"> </w:t>
      </w:r>
      <w:r w:rsidR="004106C3">
        <w:t>p</w:t>
      </w:r>
      <w:r w:rsidR="00215AF2" w:rsidRPr="00DA7A12">
        <w:t>roposal</w:t>
      </w:r>
      <w:r w:rsidR="004106C3">
        <w:t xml:space="preserve"> </w:t>
      </w:r>
      <w:r w:rsidR="00A440D7" w:rsidRPr="00DA7A12">
        <w:t xml:space="preserve">for </w:t>
      </w:r>
      <w:hyperlink r:id="rId11" w:tooltip="Community Planning Services" w:history="1">
        <w:r w:rsidR="00170CA9" w:rsidRPr="00170CA9">
          <w:rPr>
            <w:color w:val="262626"/>
          </w:rPr>
          <w:t>Community Planning Services</w:t>
        </w:r>
      </w:hyperlink>
      <w:r w:rsidR="00170CA9">
        <w:rPr>
          <w:color w:val="262626"/>
        </w:rPr>
        <w:t xml:space="preserve"> </w:t>
      </w:r>
      <w:r w:rsidR="007C3241">
        <w:t>on</w:t>
      </w:r>
      <w:r w:rsidR="00170CA9">
        <w:t xml:space="preserve"> October 17</w:t>
      </w:r>
      <w:r w:rsidR="00F31624">
        <w:t>, 2019</w:t>
      </w:r>
      <w:r w:rsidR="00161587" w:rsidRPr="00150BD3">
        <w:t>.</w:t>
      </w:r>
      <w:r w:rsidR="002A373F">
        <w:t xml:space="preserve"> </w:t>
      </w:r>
      <w:r w:rsidR="008A044A" w:rsidRPr="00DA7A12">
        <w:t xml:space="preserve"> The following</w:t>
      </w:r>
      <w:r w:rsidR="00CB39CC">
        <w:t xml:space="preserve"> </w:t>
      </w:r>
      <w:r w:rsidR="008A044A" w:rsidRPr="00DA7A12">
        <w:t>compan</w:t>
      </w:r>
      <w:r w:rsidR="004924B8">
        <w:t>y</w:t>
      </w:r>
      <w:r w:rsidR="008A044A" w:rsidRPr="00DA7A12">
        <w:t xml:space="preserve"> submitted </w:t>
      </w:r>
      <w:r w:rsidR="004924B8">
        <w:t xml:space="preserve">a </w:t>
      </w:r>
      <w:r w:rsidR="006F4AAB">
        <w:t>p</w:t>
      </w:r>
      <w:r w:rsidR="008A044A" w:rsidRPr="00DA7A12">
        <w:t>roposal</w:t>
      </w:r>
      <w:r w:rsidR="00176EC9">
        <w:t>:</w:t>
      </w:r>
      <w:r w:rsidR="00A50791" w:rsidRPr="00DA7A12">
        <w:t xml:space="preserve"> </w:t>
      </w:r>
    </w:p>
    <w:p w14:paraId="3CB53813" w14:textId="7D5523AE" w:rsidR="004C01C9" w:rsidRPr="00176EC9" w:rsidRDefault="00990C6F" w:rsidP="0028341C">
      <w:pPr>
        <w:ind w:firstLine="360"/>
        <w:rPr>
          <w:color w:val="00B0F0"/>
        </w:rPr>
      </w:pPr>
      <w:r w:rsidRPr="00990C6F">
        <w:rPr>
          <w:color w:val="00B0F0"/>
        </w:rPr>
        <w:tab/>
      </w:r>
      <w:r w:rsidRPr="00990C6F">
        <w:rPr>
          <w:color w:val="00B0F0"/>
        </w:rPr>
        <w:tab/>
      </w:r>
      <w:r w:rsidRPr="00990C6F">
        <w:rPr>
          <w:color w:val="00B0F0"/>
        </w:rPr>
        <w:tab/>
      </w:r>
      <w:r w:rsidRPr="00990C6F">
        <w:rPr>
          <w:color w:val="00B0F0"/>
        </w:rPr>
        <w:tab/>
      </w:r>
      <w:r w:rsidRPr="00990C6F">
        <w:rPr>
          <w:color w:val="00B0F0"/>
        </w:rPr>
        <w:tab/>
      </w:r>
      <w:r w:rsidRPr="00990C6F">
        <w:rPr>
          <w:color w:val="00B0F0"/>
        </w:rPr>
        <w:tab/>
      </w:r>
      <w:r w:rsidRPr="00990C6F">
        <w:rPr>
          <w:color w:val="00B0F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05"/>
        <w:gridCol w:w="2245"/>
      </w:tblGrid>
      <w:tr w:rsidR="004C01C9" w14:paraId="1C94EAE1" w14:textId="77777777" w:rsidTr="00170CA9">
        <w:tc>
          <w:tcPr>
            <w:tcW w:w="7105" w:type="dxa"/>
            <w:vAlign w:val="center"/>
          </w:tcPr>
          <w:p w14:paraId="2EE18EB2" w14:textId="2F9B8943" w:rsidR="004C01C9" w:rsidRPr="00992F50" w:rsidRDefault="00722C1B" w:rsidP="00760052">
            <w:r w:rsidRPr="00992F50">
              <w:t>Alliance-Texas Engineering Co dba Alliance Transportation Group Co</w:t>
            </w:r>
          </w:p>
        </w:tc>
        <w:tc>
          <w:tcPr>
            <w:tcW w:w="2245" w:type="dxa"/>
            <w:vAlign w:val="center"/>
          </w:tcPr>
          <w:p w14:paraId="1E2C17AC" w14:textId="7699629B" w:rsidR="004C01C9" w:rsidRPr="00992F50" w:rsidRDefault="002135FF" w:rsidP="00760052">
            <w:pPr>
              <w:rPr>
                <w:color w:val="FF0000"/>
              </w:rPr>
            </w:pPr>
            <w:r w:rsidRPr="00992F50">
              <w:rPr>
                <w:color w:val="000000" w:themeColor="text1"/>
              </w:rPr>
              <w:t xml:space="preserve">Lake Charles, </w:t>
            </w:r>
            <w:r w:rsidR="004236EC">
              <w:rPr>
                <w:color w:val="000000" w:themeColor="text1"/>
              </w:rPr>
              <w:t>LA</w:t>
            </w:r>
          </w:p>
        </w:tc>
      </w:tr>
      <w:tr w:rsidR="00722C1B" w14:paraId="176C9D49" w14:textId="77777777" w:rsidTr="00170CA9">
        <w:tc>
          <w:tcPr>
            <w:tcW w:w="7105" w:type="dxa"/>
            <w:vAlign w:val="center"/>
          </w:tcPr>
          <w:p w14:paraId="3F812008" w14:textId="37DF5F3E" w:rsidR="00722C1B" w:rsidRPr="00992F50" w:rsidRDefault="00722C1B" w:rsidP="00760052">
            <w:r w:rsidRPr="00992F50">
              <w:t>Burditt Consultant</w:t>
            </w:r>
            <w:r w:rsidR="00394650" w:rsidRPr="00992F50">
              <w:t>s</w:t>
            </w:r>
            <w:r w:rsidRPr="00992F50">
              <w:t>, LLC</w:t>
            </w:r>
          </w:p>
        </w:tc>
        <w:tc>
          <w:tcPr>
            <w:tcW w:w="2245" w:type="dxa"/>
            <w:vAlign w:val="center"/>
          </w:tcPr>
          <w:p w14:paraId="57B6B5E3" w14:textId="676BB7E2" w:rsidR="00722C1B" w:rsidRPr="00992F50" w:rsidRDefault="001F79C9" w:rsidP="00760052">
            <w:pPr>
              <w:rPr>
                <w:color w:val="FF0000"/>
              </w:rPr>
            </w:pPr>
            <w:r w:rsidRPr="00992F50">
              <w:rPr>
                <w:color w:val="000000" w:themeColor="text1"/>
              </w:rPr>
              <w:t>Conroe, TX</w:t>
            </w:r>
          </w:p>
        </w:tc>
      </w:tr>
      <w:tr w:rsidR="00722C1B" w14:paraId="4423A9BE" w14:textId="77777777" w:rsidTr="00170CA9">
        <w:tc>
          <w:tcPr>
            <w:tcW w:w="7105" w:type="dxa"/>
            <w:vAlign w:val="center"/>
          </w:tcPr>
          <w:p w14:paraId="43FED2A6" w14:textId="394A8A24" w:rsidR="00722C1B" w:rsidRPr="00992F50" w:rsidRDefault="00722C1B" w:rsidP="00760052">
            <w:r w:rsidRPr="00992F50">
              <w:t>Design Workshop, Inc</w:t>
            </w:r>
          </w:p>
        </w:tc>
        <w:tc>
          <w:tcPr>
            <w:tcW w:w="2245" w:type="dxa"/>
            <w:vAlign w:val="center"/>
          </w:tcPr>
          <w:p w14:paraId="21E4086B" w14:textId="31E7EAE5" w:rsidR="00722C1B" w:rsidRPr="00992F50" w:rsidRDefault="001F79C9" w:rsidP="00760052">
            <w:pPr>
              <w:rPr>
                <w:color w:val="FF0000"/>
              </w:rPr>
            </w:pPr>
            <w:r w:rsidRPr="00992F50">
              <w:rPr>
                <w:color w:val="000000" w:themeColor="text1"/>
              </w:rPr>
              <w:t>Austin, TX</w:t>
            </w:r>
          </w:p>
        </w:tc>
      </w:tr>
      <w:tr w:rsidR="00722C1B" w14:paraId="121687F1" w14:textId="77777777" w:rsidTr="00170CA9">
        <w:tc>
          <w:tcPr>
            <w:tcW w:w="7105" w:type="dxa"/>
            <w:vAlign w:val="center"/>
          </w:tcPr>
          <w:p w14:paraId="2733B2B2" w14:textId="088C35F6" w:rsidR="00722C1B" w:rsidRPr="00992F50" w:rsidRDefault="00722C1B" w:rsidP="00760052">
            <w:r w:rsidRPr="00992F50">
              <w:t>Freese and Nichols, Inc</w:t>
            </w:r>
          </w:p>
        </w:tc>
        <w:tc>
          <w:tcPr>
            <w:tcW w:w="2245" w:type="dxa"/>
            <w:vAlign w:val="center"/>
          </w:tcPr>
          <w:p w14:paraId="055B13E2" w14:textId="4F41B35F" w:rsidR="00722C1B" w:rsidRPr="00992F50" w:rsidRDefault="001F79C9" w:rsidP="00760052">
            <w:pPr>
              <w:rPr>
                <w:color w:val="FF0000"/>
              </w:rPr>
            </w:pPr>
            <w:r w:rsidRPr="00992F50">
              <w:rPr>
                <w:color w:val="000000" w:themeColor="text1"/>
              </w:rPr>
              <w:t>Pearland</w:t>
            </w:r>
            <w:r w:rsidR="0014001C" w:rsidRPr="00992F50">
              <w:rPr>
                <w:color w:val="000000" w:themeColor="text1"/>
              </w:rPr>
              <w:t xml:space="preserve">, </w:t>
            </w:r>
            <w:r w:rsidRPr="00992F50">
              <w:rPr>
                <w:color w:val="000000" w:themeColor="text1"/>
              </w:rPr>
              <w:t>TX</w:t>
            </w:r>
          </w:p>
        </w:tc>
      </w:tr>
      <w:tr w:rsidR="00722C1B" w14:paraId="1F31D9D8" w14:textId="77777777" w:rsidTr="00170CA9">
        <w:tc>
          <w:tcPr>
            <w:tcW w:w="7105" w:type="dxa"/>
            <w:vAlign w:val="center"/>
          </w:tcPr>
          <w:p w14:paraId="34E9700F" w14:textId="00D32F24" w:rsidR="00722C1B" w:rsidRPr="00992F50" w:rsidRDefault="00722C1B" w:rsidP="00760052">
            <w:proofErr w:type="spellStart"/>
            <w:r w:rsidRPr="00992F50">
              <w:t>Gunda</w:t>
            </w:r>
            <w:proofErr w:type="spellEnd"/>
            <w:r w:rsidRPr="00992F50">
              <w:t xml:space="preserve"> Corporation, LLC</w:t>
            </w:r>
          </w:p>
        </w:tc>
        <w:tc>
          <w:tcPr>
            <w:tcW w:w="2245" w:type="dxa"/>
            <w:vAlign w:val="center"/>
          </w:tcPr>
          <w:p w14:paraId="7A7CC22B" w14:textId="7839A523" w:rsidR="00722C1B" w:rsidRPr="00992F50" w:rsidRDefault="0014001C" w:rsidP="00760052">
            <w:pPr>
              <w:rPr>
                <w:color w:val="FF0000"/>
              </w:rPr>
            </w:pPr>
            <w:r w:rsidRPr="00992F50">
              <w:rPr>
                <w:color w:val="000000" w:themeColor="text1"/>
              </w:rPr>
              <w:t>Houston, TX</w:t>
            </w:r>
          </w:p>
        </w:tc>
      </w:tr>
      <w:tr w:rsidR="00722C1B" w14:paraId="0C07E7F4" w14:textId="77777777" w:rsidTr="00170CA9">
        <w:tc>
          <w:tcPr>
            <w:tcW w:w="7105" w:type="dxa"/>
            <w:vAlign w:val="center"/>
          </w:tcPr>
          <w:p w14:paraId="567EEE70" w14:textId="1EE47132" w:rsidR="00722C1B" w:rsidRPr="00992F50" w:rsidRDefault="00722C1B" w:rsidP="00760052">
            <w:proofErr w:type="spellStart"/>
            <w:r w:rsidRPr="00992F50">
              <w:t>Halff</w:t>
            </w:r>
            <w:proofErr w:type="spellEnd"/>
            <w:r w:rsidRPr="00992F50">
              <w:t xml:space="preserve"> Associates, Inc</w:t>
            </w:r>
          </w:p>
        </w:tc>
        <w:tc>
          <w:tcPr>
            <w:tcW w:w="2245" w:type="dxa"/>
            <w:vAlign w:val="center"/>
          </w:tcPr>
          <w:p w14:paraId="5E8E16A7" w14:textId="593E34D1" w:rsidR="00722C1B" w:rsidRPr="00992F50" w:rsidRDefault="007F44F3" w:rsidP="00760052">
            <w:pPr>
              <w:rPr>
                <w:color w:val="FF0000"/>
              </w:rPr>
            </w:pPr>
            <w:r w:rsidRPr="00992F50">
              <w:rPr>
                <w:color w:val="000000" w:themeColor="text1"/>
              </w:rPr>
              <w:t xml:space="preserve">Austin, TX </w:t>
            </w:r>
          </w:p>
        </w:tc>
      </w:tr>
      <w:tr w:rsidR="00722C1B" w14:paraId="28C31950" w14:textId="77777777" w:rsidTr="00170CA9">
        <w:tc>
          <w:tcPr>
            <w:tcW w:w="7105" w:type="dxa"/>
            <w:vAlign w:val="center"/>
          </w:tcPr>
          <w:p w14:paraId="54DF9DB0" w14:textId="4C5653D2" w:rsidR="00722C1B" w:rsidRPr="00992F50" w:rsidRDefault="00722C1B" w:rsidP="00760052">
            <w:proofErr w:type="spellStart"/>
            <w:r w:rsidRPr="00992F50">
              <w:t>Houseal</w:t>
            </w:r>
            <w:proofErr w:type="spellEnd"/>
            <w:r w:rsidRPr="00992F50">
              <w:t xml:space="preserve"> Lavigne Associates, LLC</w:t>
            </w:r>
          </w:p>
        </w:tc>
        <w:tc>
          <w:tcPr>
            <w:tcW w:w="2245" w:type="dxa"/>
            <w:vAlign w:val="center"/>
          </w:tcPr>
          <w:p w14:paraId="21B1457A" w14:textId="51C6C547" w:rsidR="00722C1B" w:rsidRPr="00992F50" w:rsidRDefault="007F44F3" w:rsidP="00760052">
            <w:pPr>
              <w:rPr>
                <w:color w:val="FF0000"/>
              </w:rPr>
            </w:pPr>
            <w:r w:rsidRPr="00992F50">
              <w:rPr>
                <w:color w:val="000000" w:themeColor="text1"/>
              </w:rPr>
              <w:t>Chicago, IL</w:t>
            </w:r>
          </w:p>
        </w:tc>
      </w:tr>
      <w:tr w:rsidR="00722C1B" w14:paraId="46E82D72" w14:textId="77777777" w:rsidTr="00170CA9">
        <w:tc>
          <w:tcPr>
            <w:tcW w:w="7105" w:type="dxa"/>
            <w:vAlign w:val="center"/>
          </w:tcPr>
          <w:p w14:paraId="5FAECA2F" w14:textId="226A05F7" w:rsidR="00722C1B" w:rsidRPr="00992F50" w:rsidRDefault="00722C1B" w:rsidP="00760052">
            <w:proofErr w:type="spellStart"/>
            <w:r w:rsidRPr="00992F50">
              <w:t>Kendig</w:t>
            </w:r>
            <w:proofErr w:type="spellEnd"/>
            <w:r w:rsidRPr="00992F50">
              <w:t xml:space="preserve"> </w:t>
            </w:r>
            <w:proofErr w:type="spellStart"/>
            <w:r w:rsidRPr="00992F50">
              <w:t>Keast</w:t>
            </w:r>
            <w:proofErr w:type="spellEnd"/>
            <w:r w:rsidRPr="00992F50">
              <w:t xml:space="preserve"> Collaborative</w:t>
            </w:r>
          </w:p>
        </w:tc>
        <w:tc>
          <w:tcPr>
            <w:tcW w:w="2245" w:type="dxa"/>
            <w:vAlign w:val="center"/>
          </w:tcPr>
          <w:p w14:paraId="4F8F48C9" w14:textId="6BA3B855" w:rsidR="00722C1B" w:rsidRPr="00992F50" w:rsidRDefault="007F44F3" w:rsidP="00760052">
            <w:pPr>
              <w:rPr>
                <w:color w:val="FF0000"/>
              </w:rPr>
            </w:pPr>
            <w:r w:rsidRPr="00992F50">
              <w:rPr>
                <w:color w:val="000000" w:themeColor="text1"/>
              </w:rPr>
              <w:t>Sugarland, TX</w:t>
            </w:r>
          </w:p>
        </w:tc>
      </w:tr>
      <w:tr w:rsidR="00722C1B" w14:paraId="2F07D8F6" w14:textId="77777777" w:rsidTr="00170CA9">
        <w:tc>
          <w:tcPr>
            <w:tcW w:w="7105" w:type="dxa"/>
            <w:vAlign w:val="center"/>
          </w:tcPr>
          <w:p w14:paraId="21CA61F7" w14:textId="0DF34C26" w:rsidR="00722C1B" w:rsidRPr="00992F50" w:rsidRDefault="00722C1B" w:rsidP="00760052">
            <w:r w:rsidRPr="00992F50">
              <w:t>Lionheart Places LLC</w:t>
            </w:r>
          </w:p>
        </w:tc>
        <w:tc>
          <w:tcPr>
            <w:tcW w:w="2245" w:type="dxa"/>
            <w:vAlign w:val="center"/>
          </w:tcPr>
          <w:p w14:paraId="6C1CFC4C" w14:textId="211056F3" w:rsidR="00722C1B" w:rsidRPr="00992F50" w:rsidRDefault="007F44F3" w:rsidP="00760052">
            <w:pPr>
              <w:rPr>
                <w:color w:val="FF0000"/>
              </w:rPr>
            </w:pPr>
            <w:r w:rsidRPr="00992F50">
              <w:rPr>
                <w:color w:val="000000" w:themeColor="text1"/>
              </w:rPr>
              <w:t>Austin, TX</w:t>
            </w:r>
          </w:p>
        </w:tc>
      </w:tr>
      <w:tr w:rsidR="00722C1B" w14:paraId="4BC0B09A" w14:textId="77777777" w:rsidTr="00170CA9">
        <w:tc>
          <w:tcPr>
            <w:tcW w:w="7105" w:type="dxa"/>
            <w:vAlign w:val="center"/>
          </w:tcPr>
          <w:p w14:paraId="5B1B17D4" w14:textId="0A661033" w:rsidR="00722C1B" w:rsidRPr="00992F50" w:rsidRDefault="00722C1B" w:rsidP="00760052">
            <w:r w:rsidRPr="00992F50">
              <w:t>M2L Associates, Inc</w:t>
            </w:r>
            <w:r w:rsidR="00BF2382">
              <w:t>.</w:t>
            </w:r>
          </w:p>
        </w:tc>
        <w:tc>
          <w:tcPr>
            <w:tcW w:w="2245" w:type="dxa"/>
            <w:vAlign w:val="center"/>
          </w:tcPr>
          <w:p w14:paraId="396DFE47" w14:textId="7F7217DD" w:rsidR="00722C1B" w:rsidRPr="00992F50" w:rsidRDefault="007F44F3" w:rsidP="00760052">
            <w:pPr>
              <w:rPr>
                <w:color w:val="FF0000"/>
              </w:rPr>
            </w:pPr>
            <w:r w:rsidRPr="00992F50">
              <w:rPr>
                <w:color w:val="000000" w:themeColor="text1"/>
              </w:rPr>
              <w:t>Houston, TX</w:t>
            </w:r>
          </w:p>
        </w:tc>
      </w:tr>
      <w:tr w:rsidR="00722C1B" w14:paraId="5321A7D2" w14:textId="77777777" w:rsidTr="00170CA9">
        <w:tc>
          <w:tcPr>
            <w:tcW w:w="7105" w:type="dxa"/>
            <w:vAlign w:val="center"/>
          </w:tcPr>
          <w:p w14:paraId="7A960A42" w14:textId="07A5D278" w:rsidR="00722C1B" w:rsidRPr="00992F50" w:rsidRDefault="00722C1B" w:rsidP="00760052">
            <w:r w:rsidRPr="00992F50">
              <w:t>Places Southwest, Inc. dba Sites Southwest, Ltd. Co</w:t>
            </w:r>
          </w:p>
        </w:tc>
        <w:tc>
          <w:tcPr>
            <w:tcW w:w="2245" w:type="dxa"/>
            <w:vAlign w:val="center"/>
          </w:tcPr>
          <w:p w14:paraId="6914843B" w14:textId="578EBBF7" w:rsidR="00722C1B" w:rsidRPr="00992F50" w:rsidRDefault="007F44F3" w:rsidP="00760052">
            <w:pPr>
              <w:rPr>
                <w:color w:val="FF0000"/>
              </w:rPr>
            </w:pPr>
            <w:r w:rsidRPr="00992F50">
              <w:rPr>
                <w:color w:val="000000" w:themeColor="text1"/>
              </w:rPr>
              <w:t>Albuquerque, NM</w:t>
            </w:r>
          </w:p>
        </w:tc>
      </w:tr>
      <w:tr w:rsidR="00722C1B" w14:paraId="2FC8CCDD" w14:textId="77777777" w:rsidTr="00170CA9">
        <w:tc>
          <w:tcPr>
            <w:tcW w:w="7105" w:type="dxa"/>
            <w:vAlign w:val="center"/>
          </w:tcPr>
          <w:p w14:paraId="4D2FFBB4" w14:textId="3C7F1119" w:rsidR="00722C1B" w:rsidRPr="00992F50" w:rsidRDefault="00722C1B" w:rsidP="00760052">
            <w:r w:rsidRPr="00992F50">
              <w:t>Stantec Consulting Services Inc</w:t>
            </w:r>
          </w:p>
        </w:tc>
        <w:tc>
          <w:tcPr>
            <w:tcW w:w="2245" w:type="dxa"/>
            <w:vAlign w:val="center"/>
          </w:tcPr>
          <w:p w14:paraId="44D80F1E" w14:textId="109114DA" w:rsidR="00722C1B" w:rsidRPr="00992F50" w:rsidRDefault="007F44F3" w:rsidP="00760052">
            <w:pPr>
              <w:rPr>
                <w:color w:val="FF0000"/>
              </w:rPr>
            </w:pPr>
            <w:r w:rsidRPr="00992F50">
              <w:rPr>
                <w:color w:val="000000" w:themeColor="text1"/>
              </w:rPr>
              <w:t>Houston, TX</w:t>
            </w:r>
          </w:p>
        </w:tc>
      </w:tr>
      <w:tr w:rsidR="00722C1B" w14:paraId="1E849156" w14:textId="77777777" w:rsidTr="00170CA9">
        <w:tc>
          <w:tcPr>
            <w:tcW w:w="7105" w:type="dxa"/>
            <w:vAlign w:val="center"/>
          </w:tcPr>
          <w:p w14:paraId="45680164" w14:textId="752F1E80" w:rsidR="00722C1B" w:rsidRPr="00992F50" w:rsidRDefault="00722C1B" w:rsidP="00760052">
            <w:r w:rsidRPr="00992F50">
              <w:t>Terry Stokes dba New Markets Economic Strategies, LLC</w:t>
            </w:r>
          </w:p>
        </w:tc>
        <w:tc>
          <w:tcPr>
            <w:tcW w:w="2245" w:type="dxa"/>
            <w:vAlign w:val="center"/>
          </w:tcPr>
          <w:p w14:paraId="420A41A1" w14:textId="1EC5EEBD" w:rsidR="00722C1B" w:rsidRPr="00992F50" w:rsidRDefault="007F44F3" w:rsidP="00760052">
            <w:pPr>
              <w:rPr>
                <w:color w:val="FF0000"/>
              </w:rPr>
            </w:pPr>
            <w:r w:rsidRPr="00992F50">
              <w:rPr>
                <w:color w:val="000000" w:themeColor="text1"/>
              </w:rPr>
              <w:t>Willis, TX</w:t>
            </w:r>
          </w:p>
        </w:tc>
      </w:tr>
      <w:tr w:rsidR="00722C1B" w14:paraId="2760C005" w14:textId="77777777" w:rsidTr="00170CA9">
        <w:tc>
          <w:tcPr>
            <w:tcW w:w="7105" w:type="dxa"/>
            <w:vAlign w:val="center"/>
          </w:tcPr>
          <w:p w14:paraId="5EC84D88" w14:textId="58B0091F" w:rsidR="00722C1B" w:rsidRPr="00992F50" w:rsidRDefault="00A30F0B" w:rsidP="00760052">
            <w:r w:rsidRPr="00992F50">
              <w:t>The Goodman Corporation</w:t>
            </w:r>
          </w:p>
        </w:tc>
        <w:tc>
          <w:tcPr>
            <w:tcW w:w="2245" w:type="dxa"/>
            <w:vAlign w:val="center"/>
          </w:tcPr>
          <w:p w14:paraId="45534A93" w14:textId="786D3E37" w:rsidR="00722C1B" w:rsidRPr="00992F50" w:rsidRDefault="007F44F3" w:rsidP="00760052">
            <w:pPr>
              <w:rPr>
                <w:color w:val="FF0000"/>
              </w:rPr>
            </w:pPr>
            <w:r w:rsidRPr="00992F50">
              <w:rPr>
                <w:color w:val="000000" w:themeColor="text1"/>
              </w:rPr>
              <w:t>Houston, TX</w:t>
            </w:r>
          </w:p>
        </w:tc>
      </w:tr>
      <w:tr w:rsidR="00722C1B" w14:paraId="79E20317" w14:textId="77777777" w:rsidTr="00170CA9">
        <w:tc>
          <w:tcPr>
            <w:tcW w:w="7105" w:type="dxa"/>
            <w:vAlign w:val="center"/>
          </w:tcPr>
          <w:p w14:paraId="45B358C2" w14:textId="1CF233E1" w:rsidR="00722C1B" w:rsidRPr="00992F50" w:rsidRDefault="00A30F0B" w:rsidP="00760052">
            <w:r w:rsidRPr="00992F50">
              <w:t>Traffic Engineers, Inc</w:t>
            </w:r>
          </w:p>
        </w:tc>
        <w:tc>
          <w:tcPr>
            <w:tcW w:w="2245" w:type="dxa"/>
            <w:vAlign w:val="center"/>
          </w:tcPr>
          <w:p w14:paraId="0C60D542" w14:textId="00CC8761" w:rsidR="00722C1B" w:rsidRPr="00992F50" w:rsidRDefault="007F44F3" w:rsidP="00760052">
            <w:pPr>
              <w:rPr>
                <w:color w:val="FF0000"/>
              </w:rPr>
            </w:pPr>
            <w:r w:rsidRPr="00992F50">
              <w:rPr>
                <w:color w:val="000000" w:themeColor="text1"/>
              </w:rPr>
              <w:t>Houston, TX</w:t>
            </w:r>
          </w:p>
        </w:tc>
      </w:tr>
    </w:tbl>
    <w:p w14:paraId="2B90B93E" w14:textId="77777777" w:rsidR="00C572F9" w:rsidRPr="00DA7A12" w:rsidRDefault="00C572F9" w:rsidP="00760052"/>
    <w:p w14:paraId="6A1F5038" w14:textId="77777777" w:rsidR="002B7988" w:rsidRPr="00DA7A12" w:rsidRDefault="002B7988" w:rsidP="002B7988">
      <w:pPr>
        <w:jc w:val="both"/>
        <w:rPr>
          <w:b/>
        </w:rPr>
      </w:pPr>
      <w:r w:rsidRPr="00DA7A12">
        <w:rPr>
          <w:b/>
        </w:rPr>
        <w:t>Current Situation</w:t>
      </w:r>
    </w:p>
    <w:p w14:paraId="3D3FE93C" w14:textId="736A9C57" w:rsidR="00E71942" w:rsidRPr="00B95922" w:rsidRDefault="00E066E0" w:rsidP="00B95922">
      <w:pPr>
        <w:rPr>
          <w:rFonts w:ascii="TimesNewRomanPSMT" w:hAnsi="TimesNewRomanPSMT" w:cs="TimesNewRomanPSMT"/>
          <w:sz w:val="22"/>
          <w:szCs w:val="22"/>
        </w:rPr>
      </w:pPr>
      <w:bookmarkStart w:id="0" w:name="_GoBack"/>
      <w:bookmarkEnd w:id="0"/>
      <w:r w:rsidRPr="001C2EA9">
        <w:t xml:space="preserve">New to our portfolio of contracts will </w:t>
      </w:r>
      <w:r w:rsidR="00B95922" w:rsidRPr="001C2EA9">
        <w:t xml:space="preserve">focus on the HGAC regional needs for </w:t>
      </w:r>
      <w:r w:rsidR="00B95922" w:rsidRPr="001C2EA9">
        <w:rPr>
          <w:rFonts w:ascii="Times-Bold" w:hAnsi="Times-Bold" w:cs="Times-Bold"/>
          <w:bCs/>
        </w:rPr>
        <w:t>Planning (</w:t>
      </w:r>
      <w:r w:rsidR="00B95922" w:rsidRPr="001C2EA9">
        <w:t>Land Use Planning,</w:t>
      </w:r>
      <w:r w:rsidR="00B95922" w:rsidRPr="001C2EA9">
        <w:rPr>
          <w:rFonts w:ascii="Times-Bold" w:hAnsi="Times-Bold" w:cs="Times-Bold"/>
          <w:b/>
          <w:bCs/>
        </w:rPr>
        <w:t xml:space="preserve"> </w:t>
      </w:r>
      <w:r w:rsidR="00B95922" w:rsidRPr="001C2EA9">
        <w:t>Transportation Planning</w:t>
      </w:r>
      <w:r w:rsidR="00B95922" w:rsidRPr="001C2EA9">
        <w:rPr>
          <w:rFonts w:ascii="Times-Bold" w:hAnsi="Times-Bold" w:cs="Times-Bold"/>
          <w:b/>
          <w:bCs/>
        </w:rPr>
        <w:t xml:space="preserve">, </w:t>
      </w:r>
      <w:r w:rsidR="00B95922" w:rsidRPr="001C2EA9">
        <w:t>Comprehensive Planning</w:t>
      </w:r>
      <w:r w:rsidR="00B95922" w:rsidRPr="001C2EA9">
        <w:rPr>
          <w:rFonts w:ascii="Times-Bold" w:hAnsi="Times-Bold" w:cs="Times-Bold"/>
          <w:b/>
          <w:bCs/>
        </w:rPr>
        <w:t xml:space="preserve">, </w:t>
      </w:r>
      <w:r w:rsidR="00B95922" w:rsidRPr="001C2EA9">
        <w:rPr>
          <w:rFonts w:ascii="TimesNewRomanPSMT" w:hAnsi="TimesNewRomanPSMT" w:cs="TimesNewRomanPSMT"/>
          <w:sz w:val="22"/>
          <w:szCs w:val="22"/>
        </w:rPr>
        <w:t>Parks and Trails Planning, Strategic Planning,</w:t>
      </w:r>
      <w:r w:rsidR="00B95922" w:rsidRPr="001C2EA9">
        <w:rPr>
          <w:rFonts w:ascii="Times-Bold" w:hAnsi="Times-Bold" w:cs="Times-Bold"/>
          <w:b/>
          <w:bCs/>
        </w:rPr>
        <w:t xml:space="preserve"> </w:t>
      </w:r>
      <w:r w:rsidR="00B95922" w:rsidRPr="001C2EA9">
        <w:t xml:space="preserve">Sustainable Development Planning), </w:t>
      </w:r>
      <w:r w:rsidR="00B95922" w:rsidRPr="001C2EA9">
        <w:rPr>
          <w:bCs/>
        </w:rPr>
        <w:t>Implementation and Regulation</w:t>
      </w:r>
      <w:r w:rsidR="00B95922" w:rsidRPr="001C2EA9">
        <w:rPr>
          <w:rFonts w:ascii="Times-Bold" w:hAnsi="Times-Bold" w:cs="Times-Bold"/>
          <w:b/>
          <w:bCs/>
        </w:rPr>
        <w:t xml:space="preserve"> (</w:t>
      </w:r>
      <w:r w:rsidR="00B95922" w:rsidRPr="001C2EA9">
        <w:rPr>
          <w:rFonts w:ascii="TimesNewRomanPSMT" w:hAnsi="TimesNewRomanPSMT" w:cs="TimesNewRomanPSMT"/>
          <w:sz w:val="22"/>
          <w:szCs w:val="22"/>
        </w:rPr>
        <w:t>Land Development Regulations</w:t>
      </w:r>
      <w:r w:rsidR="00B95922" w:rsidRPr="001C2EA9">
        <w:rPr>
          <w:rFonts w:ascii="Times-Bold" w:hAnsi="Times-Bold" w:cs="Times-Bold"/>
          <w:b/>
          <w:bCs/>
        </w:rPr>
        <w:t xml:space="preserve">, </w:t>
      </w:r>
      <w:r w:rsidR="00B95922" w:rsidRPr="001C2EA9">
        <w:rPr>
          <w:rFonts w:ascii="TimesNewRomanPSMT" w:hAnsi="TimesNewRomanPSMT" w:cs="TimesNewRomanPSMT"/>
          <w:sz w:val="22"/>
          <w:szCs w:val="22"/>
        </w:rPr>
        <w:t>Annexation</w:t>
      </w:r>
      <w:r w:rsidR="00B95922" w:rsidRPr="001C2EA9">
        <w:rPr>
          <w:rFonts w:ascii="Times-Bold" w:hAnsi="Times-Bold" w:cs="Times-Bold"/>
          <w:b/>
          <w:bCs/>
        </w:rPr>
        <w:t xml:space="preserve">, </w:t>
      </w:r>
      <w:r w:rsidR="00B95922" w:rsidRPr="001C2EA9">
        <w:t>Financing S</w:t>
      </w:r>
      <w:r w:rsidR="00B95922" w:rsidRPr="001C2EA9">
        <w:rPr>
          <w:rFonts w:ascii="TimesNewRomanPSMT" w:hAnsi="TimesNewRomanPSMT" w:cs="TimesNewRomanPSMT"/>
          <w:sz w:val="22"/>
          <w:szCs w:val="22"/>
        </w:rPr>
        <w:t>trategies and Economic Development Tools</w:t>
      </w:r>
      <w:r w:rsidR="00B95922" w:rsidRPr="001C2EA9">
        <w:rPr>
          <w:rFonts w:ascii="Times-Bold" w:hAnsi="Times-Bold" w:cs="Times-Bold"/>
          <w:b/>
          <w:bCs/>
        </w:rPr>
        <w:t xml:space="preserve">, </w:t>
      </w:r>
      <w:r w:rsidR="00B95922" w:rsidRPr="001C2EA9">
        <w:rPr>
          <w:rFonts w:ascii="TimesNewRomanPSMT" w:hAnsi="TimesNewRomanPSMT" w:cs="TimesNewRomanPSMT"/>
          <w:sz w:val="22"/>
          <w:szCs w:val="22"/>
        </w:rPr>
        <w:t>Urban Design</w:t>
      </w:r>
      <w:r w:rsidR="00B95922" w:rsidRPr="001C2EA9">
        <w:rPr>
          <w:rFonts w:ascii="Times-Bold" w:hAnsi="Times-Bold" w:cs="Times-Bold"/>
          <w:b/>
          <w:bCs/>
        </w:rPr>
        <w:t xml:space="preserve">, </w:t>
      </w:r>
      <w:r w:rsidR="00B95922" w:rsidRPr="001C2EA9">
        <w:rPr>
          <w:rFonts w:ascii="TimesNewRomanPSMT" w:hAnsi="TimesNewRomanPSMT" w:cs="TimesNewRomanPSMT"/>
          <w:sz w:val="22"/>
          <w:szCs w:val="22"/>
        </w:rPr>
        <w:t xml:space="preserve">Site Planning), and </w:t>
      </w:r>
      <w:r w:rsidR="00B95922" w:rsidRPr="001C2EA9">
        <w:rPr>
          <w:bCs/>
        </w:rPr>
        <w:t>Studies and Additional Services</w:t>
      </w:r>
      <w:r w:rsidR="00B95922" w:rsidRPr="001C2EA9">
        <w:rPr>
          <w:rFonts w:ascii="Times-Bold" w:hAnsi="Times-Bold" w:cs="Times-Bold"/>
          <w:b/>
          <w:bCs/>
        </w:rPr>
        <w:t xml:space="preserve"> (</w:t>
      </w:r>
      <w:r w:rsidR="00B95922" w:rsidRPr="001C2EA9">
        <w:rPr>
          <w:rFonts w:ascii="TimesNewRomanPSMT" w:hAnsi="TimesNewRomanPSMT" w:cs="TimesNewRomanPSMT"/>
          <w:sz w:val="22"/>
          <w:szCs w:val="22"/>
        </w:rPr>
        <w:t>Special Area Studies</w:t>
      </w:r>
      <w:r w:rsidR="00B95922" w:rsidRPr="001C2EA9">
        <w:rPr>
          <w:rFonts w:ascii="Times-Bold" w:hAnsi="Times-Bold" w:cs="Times-Bold"/>
          <w:b/>
          <w:bCs/>
        </w:rPr>
        <w:t xml:space="preserve">, </w:t>
      </w:r>
      <w:r w:rsidR="00B95922" w:rsidRPr="001C2EA9">
        <w:rPr>
          <w:rFonts w:ascii="TimesNewRomanPSMT" w:hAnsi="TimesNewRomanPSMT" w:cs="TimesNewRomanPSMT"/>
          <w:sz w:val="22"/>
          <w:szCs w:val="22"/>
        </w:rPr>
        <w:t>Public Involvement</w:t>
      </w:r>
      <w:r w:rsidR="00B95922" w:rsidRPr="001C2EA9">
        <w:rPr>
          <w:rFonts w:ascii="Times-Bold" w:hAnsi="Times-Bold" w:cs="Times-Bold"/>
          <w:b/>
          <w:bCs/>
        </w:rPr>
        <w:t xml:space="preserve">, </w:t>
      </w:r>
      <w:r w:rsidR="00B95922" w:rsidRPr="001C2EA9">
        <w:rPr>
          <w:rFonts w:ascii="TimesNewRomanPSMT" w:hAnsi="TimesNewRomanPSMT" w:cs="TimesNewRomanPSMT"/>
          <w:sz w:val="22"/>
          <w:szCs w:val="22"/>
        </w:rPr>
        <w:t>Information and Outreach Tools</w:t>
      </w:r>
      <w:r w:rsidR="00B95922" w:rsidRPr="001C2EA9">
        <w:rPr>
          <w:rFonts w:ascii="Times-Bold" w:hAnsi="Times-Bold" w:cs="Times-Bold"/>
          <w:b/>
          <w:bCs/>
        </w:rPr>
        <w:t xml:space="preserve">, </w:t>
      </w:r>
      <w:r w:rsidR="00B95922" w:rsidRPr="001C2EA9">
        <w:rPr>
          <w:rFonts w:ascii="TimesNewRomanPSMT" w:hAnsi="TimesNewRomanPSMT" w:cs="TimesNewRomanPSMT"/>
          <w:sz w:val="22"/>
          <w:szCs w:val="22"/>
        </w:rPr>
        <w:t>Feasibility Studies</w:t>
      </w:r>
      <w:r w:rsidR="00B95922" w:rsidRPr="001C2EA9">
        <w:rPr>
          <w:rFonts w:ascii="Times-Bold" w:hAnsi="Times-Bold" w:cs="Times-Bold"/>
          <w:b/>
          <w:bCs/>
        </w:rPr>
        <w:t xml:space="preserve">, </w:t>
      </w:r>
      <w:r w:rsidR="00B95922" w:rsidRPr="001C2EA9">
        <w:rPr>
          <w:rFonts w:ascii="TimesNewRomanPSMT" w:hAnsi="TimesNewRomanPSMT" w:cs="TimesNewRomanPSMT"/>
          <w:sz w:val="22"/>
          <w:szCs w:val="22"/>
        </w:rPr>
        <w:t>Visioning</w:t>
      </w:r>
      <w:r w:rsidR="00B95922" w:rsidRPr="001C2EA9">
        <w:rPr>
          <w:rFonts w:ascii="Times-Bold" w:hAnsi="Times-Bold" w:cs="Times-Bold"/>
          <w:b/>
          <w:bCs/>
        </w:rPr>
        <w:t xml:space="preserve">, </w:t>
      </w:r>
      <w:r w:rsidR="00B95922" w:rsidRPr="001C2EA9">
        <w:rPr>
          <w:rFonts w:ascii="TimesNewRomanPSMT" w:hAnsi="TimesNewRomanPSMT" w:cs="TimesNewRomanPSMT"/>
          <w:sz w:val="22"/>
          <w:szCs w:val="22"/>
        </w:rPr>
        <w:t>Design Visualizations).</w:t>
      </w:r>
      <w:r w:rsidR="00B95922">
        <w:rPr>
          <w:rFonts w:ascii="TimesNewRomanPSMT" w:hAnsi="TimesNewRomanPSMT" w:cs="TimesNewRomanPSMT"/>
          <w:sz w:val="22"/>
          <w:szCs w:val="22"/>
        </w:rPr>
        <w:t xml:space="preserve">  </w:t>
      </w:r>
      <w:r w:rsidR="00D559CB">
        <w:t xml:space="preserve">All proposals have been evaluated by H-GAC staff. </w:t>
      </w:r>
      <w:r w:rsidR="00E6289F">
        <w:t xml:space="preserve">Thirteen </w:t>
      </w:r>
      <w:r w:rsidR="004924B8">
        <w:t>proposal</w:t>
      </w:r>
      <w:r w:rsidR="00E6289F">
        <w:t>s</w:t>
      </w:r>
      <w:r w:rsidR="004924B8">
        <w:t xml:space="preserve"> </w:t>
      </w:r>
      <w:r w:rsidR="001C2EA9">
        <w:t>are</w:t>
      </w:r>
      <w:r w:rsidR="00F31624">
        <w:t xml:space="preserve"> </w:t>
      </w:r>
      <w:r w:rsidR="00D559CB" w:rsidRPr="005A7F30">
        <w:t>being recommended for awa</w:t>
      </w:r>
      <w:r w:rsidR="004106C3">
        <w:t xml:space="preserve">rd. </w:t>
      </w:r>
      <w:r w:rsidR="00C0694C" w:rsidRPr="00992F50">
        <w:t>Design Workshop, Inc</w:t>
      </w:r>
      <w:r w:rsidR="00C0694C">
        <w:t xml:space="preserve"> and </w:t>
      </w:r>
      <w:r w:rsidR="00C0694C" w:rsidRPr="00992F50">
        <w:t>The Goodman Corporation</w:t>
      </w:r>
      <w:r w:rsidR="00C0694C">
        <w:t xml:space="preserve"> </w:t>
      </w:r>
      <w:r w:rsidR="00551F9D" w:rsidRPr="003F1BC9">
        <w:t>were deemed nonresponsive</w:t>
      </w:r>
      <w:r w:rsidR="00C0694C">
        <w:t>.</w:t>
      </w:r>
      <w:r w:rsidR="00551F9D">
        <w:t xml:space="preserve"> </w:t>
      </w:r>
      <w:r w:rsidR="00F84BAC">
        <w:t xml:space="preserve">Request authorization to negotiate contract </w:t>
      </w:r>
      <w:r w:rsidR="003676E5">
        <w:t xml:space="preserve">with </w:t>
      </w:r>
      <w:r w:rsidR="00A957CD">
        <w:t xml:space="preserve">the </w:t>
      </w:r>
      <w:r w:rsidR="00F84BAC">
        <w:t>respondent listed in the Contract Award Recommendation</w:t>
      </w:r>
      <w:r w:rsidR="00A957CD">
        <w:t>s</w:t>
      </w:r>
      <w:r w:rsidR="00F84BAC">
        <w:t xml:space="preserve"> Table, and as may be applicable, to extend contract assignments to other authorized entities during the contract period.</w:t>
      </w:r>
    </w:p>
    <w:p w14:paraId="2AE22CD3" w14:textId="77777777" w:rsidR="00267D3D" w:rsidRPr="00DA7A12" w:rsidRDefault="00267D3D" w:rsidP="002B7988">
      <w:pPr>
        <w:jc w:val="both"/>
        <w:rPr>
          <w:b/>
        </w:rPr>
      </w:pPr>
    </w:p>
    <w:p w14:paraId="4A5A0B9B" w14:textId="77777777" w:rsidR="002B7988" w:rsidRPr="00DA7A12" w:rsidRDefault="002B7988" w:rsidP="002B7988">
      <w:pPr>
        <w:jc w:val="both"/>
      </w:pPr>
      <w:r w:rsidRPr="00DA7A12">
        <w:rPr>
          <w:b/>
        </w:rPr>
        <w:t>Fund</w:t>
      </w:r>
      <w:r w:rsidR="006D4EB3">
        <w:rPr>
          <w:b/>
        </w:rPr>
        <w:t>in</w:t>
      </w:r>
      <w:r w:rsidR="00E4462D">
        <w:rPr>
          <w:b/>
        </w:rPr>
        <w:t>g</w:t>
      </w:r>
      <w:r w:rsidRPr="00DA7A12">
        <w:rPr>
          <w:b/>
        </w:rPr>
        <w:t xml:space="preserve"> </w:t>
      </w:r>
      <w:r w:rsidR="006D4EB3">
        <w:rPr>
          <w:b/>
        </w:rPr>
        <w:t>S</w:t>
      </w:r>
      <w:r w:rsidR="006D4EB3" w:rsidRPr="00DA7A12">
        <w:rPr>
          <w:b/>
        </w:rPr>
        <w:t>ource</w:t>
      </w:r>
      <w:r w:rsidRPr="00DA7A12">
        <w:rPr>
          <w:b/>
        </w:rPr>
        <w:t>:</w:t>
      </w:r>
      <w:r w:rsidRPr="00DA7A12">
        <w:tab/>
        <w:t>Participating local government purchases</w:t>
      </w:r>
    </w:p>
    <w:p w14:paraId="3FC33011" w14:textId="77777777" w:rsidR="00BA60DF" w:rsidRDefault="00BA60DF" w:rsidP="002B7988">
      <w:pPr>
        <w:jc w:val="both"/>
        <w:rPr>
          <w:b/>
        </w:rPr>
      </w:pPr>
    </w:p>
    <w:p w14:paraId="7B7C1983" w14:textId="13A1C304" w:rsidR="002B7988" w:rsidRPr="00DA7A12" w:rsidRDefault="002B7988" w:rsidP="002B7988">
      <w:pPr>
        <w:jc w:val="both"/>
      </w:pPr>
      <w:r w:rsidRPr="00DA7A12">
        <w:rPr>
          <w:b/>
        </w:rPr>
        <w:t>Budgeted:</w:t>
      </w:r>
      <w:r w:rsidRPr="00DA7A12">
        <w:tab/>
      </w:r>
      <w:r w:rsidR="006D4EB3">
        <w:tab/>
      </w:r>
      <w:r w:rsidRPr="00DA7A12">
        <w:t>NA</w:t>
      </w:r>
    </w:p>
    <w:p w14:paraId="62EBBF7B" w14:textId="77777777" w:rsidR="002B7988" w:rsidRPr="00DA7A12" w:rsidRDefault="002B7988" w:rsidP="002B7988">
      <w:pPr>
        <w:jc w:val="both"/>
      </w:pPr>
    </w:p>
    <w:p w14:paraId="573ACC72" w14:textId="77777777" w:rsidR="001555F4" w:rsidRPr="00DA7A12" w:rsidRDefault="002B7988" w:rsidP="00760052">
      <w:pPr>
        <w:jc w:val="both"/>
        <w:rPr>
          <w:b/>
        </w:rPr>
      </w:pPr>
      <w:r w:rsidRPr="00DA7A12">
        <w:rPr>
          <w:b/>
        </w:rPr>
        <w:t>Action Requested</w:t>
      </w:r>
    </w:p>
    <w:p w14:paraId="7DAAFFCA" w14:textId="1935ED1E" w:rsidR="004106C3" w:rsidRDefault="00F03AB6" w:rsidP="00760052">
      <w:pPr>
        <w:jc w:val="both"/>
        <w:rPr>
          <w:b/>
        </w:rPr>
      </w:pPr>
      <w:r w:rsidRPr="00DA7A12">
        <w:t xml:space="preserve">Request </w:t>
      </w:r>
      <w:r w:rsidR="00BE428A">
        <w:t xml:space="preserve">authorization to negotiate </w:t>
      </w:r>
      <w:r w:rsidR="004924B8">
        <w:t xml:space="preserve">a </w:t>
      </w:r>
      <w:r w:rsidR="00B4208B">
        <w:t>contract</w:t>
      </w:r>
      <w:r w:rsidR="00B4208B" w:rsidRPr="00DA7A12">
        <w:t xml:space="preserve"> with </w:t>
      </w:r>
      <w:r w:rsidR="004924B8">
        <w:t>the</w:t>
      </w:r>
      <w:r w:rsidR="00B4208B" w:rsidRPr="00DA7A12">
        <w:t xml:space="preserve"> respondent listed in th</w:t>
      </w:r>
      <w:r w:rsidR="00B4208B">
        <w:t>e Contract Award Recommendation T</w:t>
      </w:r>
      <w:r w:rsidR="00B4208B" w:rsidRPr="00DA7A12">
        <w:t>able</w:t>
      </w:r>
      <w:r w:rsidR="000D5968">
        <w:t xml:space="preserve"> for </w:t>
      </w:r>
      <w:hyperlink r:id="rId12" w:tooltip="Community Planning Services" w:history="1">
        <w:r w:rsidR="00170CA9" w:rsidRPr="00170CA9">
          <w:rPr>
            <w:color w:val="262626"/>
          </w:rPr>
          <w:t>Community Planning Services</w:t>
        </w:r>
      </w:hyperlink>
      <w:r w:rsidR="000D5968">
        <w:t>.</w:t>
      </w:r>
      <w:r w:rsidR="00CD63CD">
        <w:t xml:space="preserve"> </w:t>
      </w:r>
    </w:p>
    <w:p w14:paraId="44D64D53" w14:textId="77777777" w:rsidR="00E23EB4" w:rsidRDefault="00E23EB4" w:rsidP="00760052">
      <w:pPr>
        <w:jc w:val="both"/>
        <w:rPr>
          <w:b/>
        </w:rPr>
      </w:pPr>
    </w:p>
    <w:p w14:paraId="650119DA" w14:textId="77777777" w:rsidR="00722C1B" w:rsidRDefault="00722C1B" w:rsidP="00722C1B">
      <w:pPr>
        <w:rPr>
          <w:sz w:val="22"/>
          <w:szCs w:val="22"/>
        </w:rPr>
      </w:pPr>
      <w:r>
        <w:rPr>
          <w:rFonts w:ascii="Times-Bold" w:hAnsi="Times-Bold" w:cs="Times-Bold"/>
          <w:b/>
          <w:bCs/>
        </w:rPr>
        <w:t>H-GAC product categories:</w:t>
      </w:r>
    </w:p>
    <w:p w14:paraId="20FC987F" w14:textId="77777777" w:rsidR="00505FD5" w:rsidRPr="00B34370" w:rsidRDefault="00505FD5" w:rsidP="00505FD5">
      <w:pPr>
        <w:ind w:firstLine="360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Planning</w:t>
      </w:r>
    </w:p>
    <w:p w14:paraId="157308E5" w14:textId="77777777" w:rsidR="00505FD5" w:rsidRDefault="00505FD5" w:rsidP="00505FD5">
      <w:pPr>
        <w:pStyle w:val="ListParagraph"/>
        <w:numPr>
          <w:ilvl w:val="0"/>
          <w:numId w:val="6"/>
        </w:numPr>
      </w:pPr>
      <w:r w:rsidRPr="00E23EB4">
        <w:t>Land Use Planning</w:t>
      </w:r>
    </w:p>
    <w:p w14:paraId="7928FAFA" w14:textId="77777777" w:rsidR="00505FD5" w:rsidRDefault="00505FD5" w:rsidP="00505FD5">
      <w:pPr>
        <w:pStyle w:val="ListParagraph"/>
        <w:numPr>
          <w:ilvl w:val="0"/>
          <w:numId w:val="6"/>
        </w:numPr>
      </w:pPr>
      <w:r w:rsidRPr="00E23EB4">
        <w:lastRenderedPageBreak/>
        <w:t>Transportation Planning</w:t>
      </w:r>
    </w:p>
    <w:p w14:paraId="34313518" w14:textId="77777777" w:rsidR="00505FD5" w:rsidRDefault="00505FD5" w:rsidP="00505FD5">
      <w:pPr>
        <w:pStyle w:val="ListParagraph"/>
        <w:numPr>
          <w:ilvl w:val="0"/>
          <w:numId w:val="6"/>
        </w:numPr>
      </w:pPr>
      <w:r w:rsidRPr="00E23EB4">
        <w:t>Comprehensive Planning</w:t>
      </w:r>
    </w:p>
    <w:p w14:paraId="5ECE9F53" w14:textId="77777777" w:rsidR="00505FD5" w:rsidRPr="00B34370" w:rsidRDefault="00505FD5" w:rsidP="00505FD5">
      <w:pPr>
        <w:pStyle w:val="ListParagraph"/>
        <w:numPr>
          <w:ilvl w:val="0"/>
          <w:numId w:val="6"/>
        </w:numPr>
        <w:rPr>
          <w:rFonts w:ascii="TimesNewRomanPSMT" w:hAnsi="TimesNewRomanPSMT" w:cs="TimesNewRomanPSMT"/>
          <w:sz w:val="22"/>
          <w:szCs w:val="22"/>
        </w:rPr>
      </w:pPr>
      <w:r w:rsidRPr="00B34370">
        <w:rPr>
          <w:rFonts w:ascii="TimesNewRomanPSMT" w:hAnsi="TimesNewRomanPSMT" w:cs="TimesNewRomanPSMT"/>
          <w:sz w:val="22"/>
          <w:szCs w:val="22"/>
        </w:rPr>
        <w:t xml:space="preserve">Parks and Trails Planning </w:t>
      </w:r>
    </w:p>
    <w:p w14:paraId="37C3298A" w14:textId="77777777" w:rsidR="00505FD5" w:rsidRPr="00B34370" w:rsidRDefault="00505FD5" w:rsidP="00505FD5">
      <w:pPr>
        <w:pStyle w:val="ListParagraph"/>
        <w:numPr>
          <w:ilvl w:val="0"/>
          <w:numId w:val="6"/>
        </w:numPr>
      </w:pPr>
      <w:r w:rsidRPr="00B34370">
        <w:rPr>
          <w:rFonts w:ascii="TimesNewRomanPSMT" w:hAnsi="TimesNewRomanPSMT" w:cs="TimesNewRomanPSMT"/>
          <w:sz w:val="22"/>
          <w:szCs w:val="22"/>
        </w:rPr>
        <w:t>Strategic Planning</w:t>
      </w:r>
    </w:p>
    <w:p w14:paraId="551D6CAC" w14:textId="77777777" w:rsidR="00505FD5" w:rsidRDefault="00505FD5" w:rsidP="00505FD5">
      <w:pPr>
        <w:pStyle w:val="ListParagraph"/>
        <w:numPr>
          <w:ilvl w:val="0"/>
          <w:numId w:val="6"/>
        </w:numPr>
      </w:pPr>
      <w:r>
        <w:t xml:space="preserve">Sustainable Development Planning </w:t>
      </w:r>
    </w:p>
    <w:p w14:paraId="64DEDEA5" w14:textId="77777777" w:rsidR="00505FD5" w:rsidRDefault="00505FD5" w:rsidP="00505FD5">
      <w:pPr>
        <w:ind w:left="360"/>
        <w:rPr>
          <w:b/>
          <w:bCs/>
        </w:rPr>
      </w:pPr>
    </w:p>
    <w:p w14:paraId="07F74AA7" w14:textId="77777777" w:rsidR="00505FD5" w:rsidRDefault="00505FD5" w:rsidP="00505FD5">
      <w:pPr>
        <w:ind w:firstLine="360"/>
        <w:rPr>
          <w:b/>
          <w:bCs/>
        </w:rPr>
      </w:pPr>
    </w:p>
    <w:p w14:paraId="551049D0" w14:textId="59EA2E19" w:rsidR="00505FD5" w:rsidRDefault="00505FD5" w:rsidP="00505FD5">
      <w:pPr>
        <w:ind w:firstLine="360"/>
        <w:rPr>
          <w:b/>
          <w:bCs/>
        </w:rPr>
      </w:pPr>
      <w:r w:rsidRPr="00B34370">
        <w:rPr>
          <w:b/>
          <w:bCs/>
        </w:rPr>
        <w:t>Implementation and Regulation</w:t>
      </w:r>
    </w:p>
    <w:p w14:paraId="6CECA3A6" w14:textId="77777777" w:rsidR="00505FD5" w:rsidRPr="00B34370" w:rsidRDefault="00505FD5" w:rsidP="00505FD5">
      <w:pPr>
        <w:pStyle w:val="ListParagraph"/>
        <w:numPr>
          <w:ilvl w:val="0"/>
          <w:numId w:val="6"/>
        </w:numPr>
      </w:pPr>
      <w:r>
        <w:rPr>
          <w:rFonts w:ascii="TimesNewRomanPSMT" w:hAnsi="TimesNewRomanPSMT" w:cs="TimesNewRomanPSMT"/>
          <w:sz w:val="22"/>
          <w:szCs w:val="22"/>
        </w:rPr>
        <w:t>Land Development Regulations</w:t>
      </w:r>
    </w:p>
    <w:p w14:paraId="4D4F1782" w14:textId="77777777" w:rsidR="00505FD5" w:rsidRPr="00B34370" w:rsidRDefault="00505FD5" w:rsidP="00505FD5">
      <w:pPr>
        <w:pStyle w:val="ListParagraph"/>
        <w:numPr>
          <w:ilvl w:val="0"/>
          <w:numId w:val="6"/>
        </w:numPr>
      </w:pPr>
      <w:r>
        <w:rPr>
          <w:rFonts w:ascii="TimesNewRomanPSMT" w:hAnsi="TimesNewRomanPSMT" w:cs="TimesNewRomanPSMT"/>
          <w:sz w:val="22"/>
          <w:szCs w:val="22"/>
        </w:rPr>
        <w:t>Annexation</w:t>
      </w:r>
    </w:p>
    <w:p w14:paraId="6E45A7F9" w14:textId="77777777" w:rsidR="00505FD5" w:rsidRPr="00B34370" w:rsidRDefault="00505FD5" w:rsidP="00505FD5">
      <w:pPr>
        <w:pStyle w:val="ListParagraph"/>
        <w:numPr>
          <w:ilvl w:val="0"/>
          <w:numId w:val="6"/>
        </w:numPr>
      </w:pPr>
      <w:r>
        <w:t>Financing S</w:t>
      </w:r>
      <w:r w:rsidRPr="00B34370">
        <w:rPr>
          <w:rFonts w:ascii="TimesNewRomanPSMT" w:hAnsi="TimesNewRomanPSMT" w:cs="TimesNewRomanPSMT"/>
          <w:sz w:val="22"/>
          <w:szCs w:val="22"/>
        </w:rPr>
        <w:t xml:space="preserve">trategies and </w:t>
      </w:r>
      <w:r>
        <w:rPr>
          <w:rFonts w:ascii="TimesNewRomanPSMT" w:hAnsi="TimesNewRomanPSMT" w:cs="TimesNewRomanPSMT"/>
          <w:sz w:val="22"/>
          <w:szCs w:val="22"/>
        </w:rPr>
        <w:t>Economic Development Tools</w:t>
      </w:r>
    </w:p>
    <w:p w14:paraId="0149DBD2" w14:textId="77777777" w:rsidR="00505FD5" w:rsidRPr="00B34370" w:rsidRDefault="00505FD5" w:rsidP="00505FD5">
      <w:pPr>
        <w:pStyle w:val="ListParagraph"/>
        <w:numPr>
          <w:ilvl w:val="0"/>
          <w:numId w:val="6"/>
        </w:numPr>
      </w:pPr>
      <w:r>
        <w:rPr>
          <w:rFonts w:ascii="TimesNewRomanPSMT" w:hAnsi="TimesNewRomanPSMT" w:cs="TimesNewRomanPSMT"/>
          <w:sz w:val="22"/>
          <w:szCs w:val="22"/>
        </w:rPr>
        <w:t>Urban Design</w:t>
      </w:r>
    </w:p>
    <w:p w14:paraId="0982AB2F" w14:textId="77777777" w:rsidR="00505FD5" w:rsidRPr="00B34370" w:rsidRDefault="00505FD5" w:rsidP="00505FD5">
      <w:pPr>
        <w:pStyle w:val="ListParagraph"/>
        <w:numPr>
          <w:ilvl w:val="0"/>
          <w:numId w:val="6"/>
        </w:numPr>
      </w:pPr>
      <w:r>
        <w:rPr>
          <w:rFonts w:ascii="TimesNewRomanPSMT" w:hAnsi="TimesNewRomanPSMT" w:cs="TimesNewRomanPSMT"/>
          <w:sz w:val="22"/>
          <w:szCs w:val="22"/>
        </w:rPr>
        <w:t>Site Planning</w:t>
      </w:r>
    </w:p>
    <w:p w14:paraId="74EDDDC6" w14:textId="77777777" w:rsidR="00505FD5" w:rsidRDefault="00505FD5" w:rsidP="00505FD5">
      <w:pPr>
        <w:ind w:left="360"/>
        <w:rPr>
          <w:b/>
          <w:bCs/>
        </w:rPr>
      </w:pPr>
    </w:p>
    <w:p w14:paraId="6461E702" w14:textId="77777777" w:rsidR="00505FD5" w:rsidRDefault="00505FD5" w:rsidP="00505FD5">
      <w:pPr>
        <w:ind w:left="360"/>
        <w:rPr>
          <w:b/>
          <w:bCs/>
        </w:rPr>
      </w:pPr>
      <w:r w:rsidRPr="00B34370">
        <w:rPr>
          <w:b/>
          <w:bCs/>
        </w:rPr>
        <w:t>Studies and Additional Services</w:t>
      </w:r>
    </w:p>
    <w:p w14:paraId="1AE81384" w14:textId="77777777" w:rsidR="00505FD5" w:rsidRPr="00B34370" w:rsidRDefault="00505FD5" w:rsidP="00505FD5">
      <w:pPr>
        <w:pStyle w:val="ListParagraph"/>
        <w:numPr>
          <w:ilvl w:val="0"/>
          <w:numId w:val="6"/>
        </w:numPr>
      </w:pPr>
      <w:r>
        <w:rPr>
          <w:rFonts w:ascii="TimesNewRomanPSMT" w:hAnsi="TimesNewRomanPSMT" w:cs="TimesNewRomanPSMT"/>
          <w:sz w:val="22"/>
          <w:szCs w:val="22"/>
        </w:rPr>
        <w:t>Special Area Studies</w:t>
      </w:r>
    </w:p>
    <w:p w14:paraId="544175FC" w14:textId="77777777" w:rsidR="00505FD5" w:rsidRPr="00B34370" w:rsidRDefault="00505FD5" w:rsidP="00505FD5">
      <w:pPr>
        <w:pStyle w:val="ListParagraph"/>
        <w:numPr>
          <w:ilvl w:val="0"/>
          <w:numId w:val="6"/>
        </w:numPr>
      </w:pPr>
      <w:r>
        <w:rPr>
          <w:rFonts w:ascii="TimesNewRomanPSMT" w:hAnsi="TimesNewRomanPSMT" w:cs="TimesNewRomanPSMT"/>
          <w:sz w:val="22"/>
          <w:szCs w:val="22"/>
        </w:rPr>
        <w:t>Public Involvement</w:t>
      </w:r>
    </w:p>
    <w:p w14:paraId="6E5825E0" w14:textId="77777777" w:rsidR="00505FD5" w:rsidRPr="00B34370" w:rsidRDefault="00505FD5" w:rsidP="00505FD5">
      <w:pPr>
        <w:pStyle w:val="ListParagraph"/>
        <w:numPr>
          <w:ilvl w:val="0"/>
          <w:numId w:val="6"/>
        </w:numPr>
      </w:pPr>
      <w:r>
        <w:rPr>
          <w:rFonts w:ascii="TimesNewRomanPSMT" w:hAnsi="TimesNewRomanPSMT" w:cs="TimesNewRomanPSMT"/>
          <w:sz w:val="22"/>
          <w:szCs w:val="22"/>
        </w:rPr>
        <w:t>Information and Outreach Tools</w:t>
      </w:r>
    </w:p>
    <w:p w14:paraId="46B200B4" w14:textId="77777777" w:rsidR="00505FD5" w:rsidRPr="00B34370" w:rsidRDefault="00505FD5" w:rsidP="00505FD5">
      <w:pPr>
        <w:pStyle w:val="ListParagraph"/>
        <w:numPr>
          <w:ilvl w:val="0"/>
          <w:numId w:val="6"/>
        </w:numPr>
      </w:pPr>
      <w:r>
        <w:rPr>
          <w:rFonts w:ascii="TimesNewRomanPSMT" w:hAnsi="TimesNewRomanPSMT" w:cs="TimesNewRomanPSMT"/>
          <w:sz w:val="22"/>
          <w:szCs w:val="22"/>
        </w:rPr>
        <w:t>Feasibility Studies</w:t>
      </w:r>
    </w:p>
    <w:p w14:paraId="35D1DCD2" w14:textId="77777777" w:rsidR="00505FD5" w:rsidRPr="00B34370" w:rsidRDefault="00505FD5" w:rsidP="00505FD5">
      <w:pPr>
        <w:pStyle w:val="ListParagraph"/>
        <w:numPr>
          <w:ilvl w:val="0"/>
          <w:numId w:val="6"/>
        </w:numPr>
      </w:pPr>
      <w:r>
        <w:rPr>
          <w:rFonts w:ascii="TimesNewRomanPSMT" w:hAnsi="TimesNewRomanPSMT" w:cs="TimesNewRomanPSMT"/>
          <w:sz w:val="22"/>
          <w:szCs w:val="22"/>
        </w:rPr>
        <w:t>Visioning</w:t>
      </w:r>
    </w:p>
    <w:p w14:paraId="4F113F8D" w14:textId="77777777" w:rsidR="00505FD5" w:rsidRDefault="00505FD5" w:rsidP="00505FD5">
      <w:pPr>
        <w:pStyle w:val="ListParagraph"/>
        <w:numPr>
          <w:ilvl w:val="0"/>
          <w:numId w:val="6"/>
        </w:numPr>
      </w:pPr>
      <w:r>
        <w:rPr>
          <w:rFonts w:ascii="TimesNewRomanPSMT" w:hAnsi="TimesNewRomanPSMT" w:cs="TimesNewRomanPSMT"/>
          <w:sz w:val="22"/>
          <w:szCs w:val="22"/>
        </w:rPr>
        <w:t>Design Visualizations</w:t>
      </w:r>
    </w:p>
    <w:p w14:paraId="1E0DCF85" w14:textId="2E5DBF7F" w:rsidR="00A957CD" w:rsidRDefault="00A957CD" w:rsidP="005E12BB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924B8" w14:paraId="7BC6A05C" w14:textId="77777777" w:rsidTr="004924B8"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AA4285" w14:textId="5331D68B" w:rsidR="004924B8" w:rsidRPr="00A957CD" w:rsidRDefault="004924B8" w:rsidP="00A957CD">
            <w:pPr>
              <w:jc w:val="center"/>
              <w:rPr>
                <w:b/>
              </w:rPr>
            </w:pPr>
          </w:p>
        </w:tc>
      </w:tr>
      <w:tr w:rsidR="00A957CD" w14:paraId="3E651DFA" w14:textId="77777777" w:rsidTr="004924B8">
        <w:tc>
          <w:tcPr>
            <w:tcW w:w="9350" w:type="dxa"/>
            <w:gridSpan w:val="2"/>
            <w:tcBorders>
              <w:top w:val="nil"/>
              <w:left w:val="nil"/>
              <w:right w:val="nil"/>
            </w:tcBorders>
          </w:tcPr>
          <w:p w14:paraId="4E3DEFBF" w14:textId="572CF9CB" w:rsidR="00A957CD" w:rsidRPr="004924B8" w:rsidRDefault="00A957CD" w:rsidP="00A957CD">
            <w:pPr>
              <w:jc w:val="center"/>
              <w:rPr>
                <w:b/>
                <w:u w:val="single"/>
              </w:rPr>
            </w:pPr>
            <w:r w:rsidRPr="004924B8">
              <w:rPr>
                <w:b/>
                <w:u w:val="single"/>
              </w:rPr>
              <w:t>C</w:t>
            </w:r>
            <w:r w:rsidR="00A30F0B">
              <w:rPr>
                <w:b/>
                <w:u w:val="single"/>
              </w:rPr>
              <w:t>P</w:t>
            </w:r>
            <w:r w:rsidRPr="004924B8">
              <w:rPr>
                <w:b/>
                <w:u w:val="single"/>
              </w:rPr>
              <w:t>0</w:t>
            </w:r>
            <w:r w:rsidR="00A30F0B">
              <w:rPr>
                <w:b/>
                <w:u w:val="single"/>
              </w:rPr>
              <w:t>4</w:t>
            </w:r>
            <w:r w:rsidRPr="004924B8">
              <w:rPr>
                <w:b/>
                <w:u w:val="single"/>
              </w:rPr>
              <w:t>-20 Award Recommendations Table</w:t>
            </w:r>
          </w:p>
          <w:p w14:paraId="0C8AA83F" w14:textId="23E61EF2" w:rsidR="004924B8" w:rsidRDefault="004924B8" w:rsidP="00A957CD">
            <w:pPr>
              <w:jc w:val="center"/>
              <w:rPr>
                <w:sz w:val="22"/>
                <w:szCs w:val="22"/>
              </w:rPr>
            </w:pPr>
          </w:p>
        </w:tc>
      </w:tr>
      <w:tr w:rsidR="00A957CD" w14:paraId="0C3A9A7D" w14:textId="77777777" w:rsidTr="004924B8">
        <w:trPr>
          <w:trHeight w:val="368"/>
        </w:trPr>
        <w:tc>
          <w:tcPr>
            <w:tcW w:w="4675" w:type="dxa"/>
            <w:vAlign w:val="center"/>
          </w:tcPr>
          <w:p w14:paraId="483BD64A" w14:textId="7C588006" w:rsidR="00A957CD" w:rsidRPr="00A957CD" w:rsidRDefault="00A957CD" w:rsidP="00A957CD">
            <w:pPr>
              <w:jc w:val="center"/>
              <w:rPr>
                <w:b/>
                <w:sz w:val="22"/>
                <w:szCs w:val="22"/>
              </w:rPr>
            </w:pPr>
            <w:r w:rsidRPr="00A957CD">
              <w:rPr>
                <w:b/>
                <w:sz w:val="22"/>
                <w:szCs w:val="22"/>
              </w:rPr>
              <w:t>Proposer</w:t>
            </w:r>
          </w:p>
        </w:tc>
        <w:tc>
          <w:tcPr>
            <w:tcW w:w="4675" w:type="dxa"/>
            <w:vAlign w:val="center"/>
          </w:tcPr>
          <w:p w14:paraId="3A989FE3" w14:textId="47C2F98D" w:rsidR="00A957CD" w:rsidRPr="00A957CD" w:rsidRDefault="00A957CD" w:rsidP="00A957CD">
            <w:pPr>
              <w:jc w:val="center"/>
              <w:rPr>
                <w:b/>
                <w:sz w:val="22"/>
                <w:szCs w:val="22"/>
              </w:rPr>
            </w:pPr>
            <w:r w:rsidRPr="00A957CD">
              <w:rPr>
                <w:b/>
                <w:sz w:val="22"/>
                <w:szCs w:val="22"/>
              </w:rPr>
              <w:t>H-GAC Category</w:t>
            </w:r>
          </w:p>
        </w:tc>
      </w:tr>
      <w:tr w:rsidR="00A957CD" w14:paraId="5080CFAC" w14:textId="77777777" w:rsidTr="00CD3F63">
        <w:tc>
          <w:tcPr>
            <w:tcW w:w="4675" w:type="dxa"/>
            <w:vAlign w:val="center"/>
          </w:tcPr>
          <w:p w14:paraId="3F456AC7" w14:textId="2BF3D6F0" w:rsidR="00A957CD" w:rsidRPr="00992F50" w:rsidRDefault="00722C1B" w:rsidP="005E12BB">
            <w:pPr>
              <w:jc w:val="both"/>
              <w:rPr>
                <w:sz w:val="22"/>
                <w:szCs w:val="22"/>
              </w:rPr>
            </w:pPr>
            <w:r w:rsidRPr="00992F50">
              <w:rPr>
                <w:sz w:val="22"/>
                <w:szCs w:val="22"/>
              </w:rPr>
              <w:t>Alliance-Texas Engineering Co dba Alliance Transportation Group Co</w:t>
            </w:r>
          </w:p>
        </w:tc>
        <w:tc>
          <w:tcPr>
            <w:tcW w:w="4675" w:type="dxa"/>
            <w:vAlign w:val="center"/>
          </w:tcPr>
          <w:p w14:paraId="651E2510" w14:textId="614EB38C" w:rsidR="00A957CD" w:rsidRPr="00992F50" w:rsidRDefault="00127FBC" w:rsidP="00127FBC">
            <w:r w:rsidRPr="00992F50">
              <w:rPr>
                <w:sz w:val="22"/>
                <w:szCs w:val="22"/>
              </w:rPr>
              <w:t>B</w:t>
            </w:r>
          </w:p>
        </w:tc>
      </w:tr>
      <w:tr w:rsidR="00722C1B" w14:paraId="653DC616" w14:textId="77777777" w:rsidTr="00CD3F63">
        <w:tc>
          <w:tcPr>
            <w:tcW w:w="4675" w:type="dxa"/>
            <w:vAlign w:val="center"/>
          </w:tcPr>
          <w:p w14:paraId="30821BA8" w14:textId="3B39EA85" w:rsidR="00722C1B" w:rsidRPr="00992F50" w:rsidRDefault="00722C1B" w:rsidP="005E12BB">
            <w:pPr>
              <w:jc w:val="both"/>
              <w:rPr>
                <w:sz w:val="22"/>
                <w:szCs w:val="22"/>
              </w:rPr>
            </w:pPr>
            <w:r w:rsidRPr="00992F50">
              <w:rPr>
                <w:sz w:val="22"/>
                <w:szCs w:val="22"/>
              </w:rPr>
              <w:t xml:space="preserve">Burditt </w:t>
            </w:r>
            <w:proofErr w:type="spellStart"/>
            <w:r w:rsidRPr="00992F50">
              <w:rPr>
                <w:sz w:val="22"/>
                <w:szCs w:val="22"/>
              </w:rPr>
              <w:t>ConsultantS</w:t>
            </w:r>
            <w:proofErr w:type="spellEnd"/>
            <w:r w:rsidRPr="00992F50">
              <w:rPr>
                <w:sz w:val="22"/>
                <w:szCs w:val="22"/>
              </w:rPr>
              <w:t>, LLC</w:t>
            </w:r>
          </w:p>
        </w:tc>
        <w:tc>
          <w:tcPr>
            <w:tcW w:w="4675" w:type="dxa"/>
            <w:vAlign w:val="center"/>
          </w:tcPr>
          <w:p w14:paraId="0A6BD101" w14:textId="6880AAEF" w:rsidR="00722C1B" w:rsidRPr="00992F50" w:rsidRDefault="004F18D3" w:rsidP="00431E8E">
            <w:pPr>
              <w:rPr>
                <w:sz w:val="22"/>
                <w:szCs w:val="22"/>
              </w:rPr>
            </w:pPr>
            <w:r w:rsidRPr="00992F50">
              <w:t>A, D, E, F, I, J, K, L, M, O, P, Q</w:t>
            </w:r>
          </w:p>
        </w:tc>
      </w:tr>
      <w:tr w:rsidR="00722C1B" w14:paraId="6CA064F2" w14:textId="77777777" w:rsidTr="00CD3F63">
        <w:tc>
          <w:tcPr>
            <w:tcW w:w="4675" w:type="dxa"/>
            <w:vAlign w:val="center"/>
          </w:tcPr>
          <w:p w14:paraId="1FF86765" w14:textId="597ECA47" w:rsidR="00722C1B" w:rsidRPr="00992F50" w:rsidRDefault="00722C1B" w:rsidP="005E12BB">
            <w:pPr>
              <w:jc w:val="both"/>
              <w:rPr>
                <w:sz w:val="22"/>
                <w:szCs w:val="22"/>
              </w:rPr>
            </w:pPr>
            <w:r w:rsidRPr="00992F50">
              <w:rPr>
                <w:sz w:val="22"/>
                <w:szCs w:val="22"/>
              </w:rPr>
              <w:t>Freese and Nichols, Inc</w:t>
            </w:r>
          </w:p>
        </w:tc>
        <w:tc>
          <w:tcPr>
            <w:tcW w:w="4675" w:type="dxa"/>
            <w:vAlign w:val="center"/>
          </w:tcPr>
          <w:p w14:paraId="17A33E79" w14:textId="44628AE8" w:rsidR="00722C1B" w:rsidRPr="00992F50" w:rsidRDefault="00505FD5" w:rsidP="005E12BB">
            <w:pPr>
              <w:jc w:val="both"/>
              <w:rPr>
                <w:sz w:val="22"/>
                <w:szCs w:val="22"/>
              </w:rPr>
            </w:pPr>
            <w:r w:rsidRPr="00992F50">
              <w:rPr>
                <w:sz w:val="22"/>
                <w:szCs w:val="22"/>
              </w:rPr>
              <w:t>A,</w:t>
            </w:r>
            <w:r w:rsidR="00336649" w:rsidRPr="00992F50">
              <w:rPr>
                <w:sz w:val="22"/>
                <w:szCs w:val="22"/>
              </w:rPr>
              <w:t xml:space="preserve"> </w:t>
            </w:r>
            <w:r w:rsidRPr="00992F50">
              <w:rPr>
                <w:sz w:val="22"/>
                <w:szCs w:val="22"/>
              </w:rPr>
              <w:t>B,</w:t>
            </w:r>
            <w:r w:rsidR="00775204" w:rsidRPr="00992F50">
              <w:rPr>
                <w:sz w:val="22"/>
                <w:szCs w:val="22"/>
              </w:rPr>
              <w:t xml:space="preserve"> </w:t>
            </w:r>
            <w:r w:rsidRPr="00992F50">
              <w:rPr>
                <w:sz w:val="22"/>
                <w:szCs w:val="22"/>
              </w:rPr>
              <w:t>C,</w:t>
            </w:r>
            <w:r w:rsidR="001C7AB1" w:rsidRPr="00992F50">
              <w:rPr>
                <w:sz w:val="22"/>
                <w:szCs w:val="22"/>
              </w:rPr>
              <w:t xml:space="preserve"> </w:t>
            </w:r>
            <w:r w:rsidRPr="00992F50">
              <w:rPr>
                <w:sz w:val="22"/>
                <w:szCs w:val="22"/>
              </w:rPr>
              <w:t xml:space="preserve">D, E, F, </w:t>
            </w:r>
            <w:r w:rsidR="00775204" w:rsidRPr="00992F50">
              <w:rPr>
                <w:sz w:val="22"/>
                <w:szCs w:val="22"/>
              </w:rPr>
              <w:t xml:space="preserve">G, H, </w:t>
            </w:r>
            <w:r w:rsidRPr="00992F50">
              <w:rPr>
                <w:sz w:val="22"/>
                <w:szCs w:val="22"/>
              </w:rPr>
              <w:t xml:space="preserve">I, J, K, L, M, </w:t>
            </w:r>
            <w:r w:rsidR="00775204" w:rsidRPr="00992F50">
              <w:rPr>
                <w:sz w:val="22"/>
                <w:szCs w:val="22"/>
              </w:rPr>
              <w:t xml:space="preserve">N, </w:t>
            </w:r>
            <w:r w:rsidRPr="00992F50">
              <w:rPr>
                <w:sz w:val="22"/>
                <w:szCs w:val="22"/>
              </w:rPr>
              <w:t>P, Q</w:t>
            </w:r>
          </w:p>
        </w:tc>
      </w:tr>
      <w:tr w:rsidR="00722C1B" w14:paraId="5EB650FB" w14:textId="77777777" w:rsidTr="00CD3F63">
        <w:tc>
          <w:tcPr>
            <w:tcW w:w="4675" w:type="dxa"/>
            <w:vAlign w:val="center"/>
          </w:tcPr>
          <w:p w14:paraId="69F3F3C5" w14:textId="333BEF01" w:rsidR="00722C1B" w:rsidRPr="00992F50" w:rsidRDefault="00722C1B" w:rsidP="005E12BB">
            <w:pPr>
              <w:jc w:val="both"/>
              <w:rPr>
                <w:sz w:val="22"/>
                <w:szCs w:val="22"/>
              </w:rPr>
            </w:pPr>
            <w:proofErr w:type="spellStart"/>
            <w:r w:rsidRPr="00992F50">
              <w:rPr>
                <w:sz w:val="22"/>
                <w:szCs w:val="22"/>
              </w:rPr>
              <w:t>Gunda</w:t>
            </w:r>
            <w:proofErr w:type="spellEnd"/>
            <w:r w:rsidRPr="00992F50">
              <w:rPr>
                <w:sz w:val="22"/>
                <w:szCs w:val="22"/>
              </w:rPr>
              <w:t xml:space="preserve"> Corporation, LLC</w:t>
            </w:r>
          </w:p>
        </w:tc>
        <w:tc>
          <w:tcPr>
            <w:tcW w:w="4675" w:type="dxa"/>
            <w:vAlign w:val="center"/>
          </w:tcPr>
          <w:p w14:paraId="4EDBBB89" w14:textId="738C9460" w:rsidR="00722C1B" w:rsidRPr="00992F50" w:rsidRDefault="008F4337" w:rsidP="00431E8E">
            <w:pPr>
              <w:rPr>
                <w:sz w:val="22"/>
                <w:szCs w:val="22"/>
              </w:rPr>
            </w:pPr>
            <w:r w:rsidRPr="00992F50">
              <w:t>A, B, C, D, E, G, H, I, K, M, O, P, Q</w:t>
            </w:r>
          </w:p>
        </w:tc>
      </w:tr>
      <w:tr w:rsidR="00722C1B" w14:paraId="6FC83FA9" w14:textId="77777777" w:rsidTr="00CD3F63">
        <w:tc>
          <w:tcPr>
            <w:tcW w:w="4675" w:type="dxa"/>
            <w:vAlign w:val="center"/>
          </w:tcPr>
          <w:p w14:paraId="134DA1B3" w14:textId="58E89EB7" w:rsidR="00722C1B" w:rsidRPr="00992F50" w:rsidRDefault="00722C1B" w:rsidP="005E12BB">
            <w:pPr>
              <w:jc w:val="both"/>
              <w:rPr>
                <w:sz w:val="22"/>
                <w:szCs w:val="22"/>
              </w:rPr>
            </w:pPr>
            <w:proofErr w:type="spellStart"/>
            <w:r w:rsidRPr="00992F50">
              <w:rPr>
                <w:sz w:val="22"/>
                <w:szCs w:val="22"/>
              </w:rPr>
              <w:t>Halff</w:t>
            </w:r>
            <w:proofErr w:type="spellEnd"/>
            <w:r w:rsidRPr="00992F50">
              <w:rPr>
                <w:sz w:val="22"/>
                <w:szCs w:val="22"/>
              </w:rPr>
              <w:t xml:space="preserve"> Associates, Inc</w:t>
            </w:r>
          </w:p>
        </w:tc>
        <w:tc>
          <w:tcPr>
            <w:tcW w:w="4675" w:type="dxa"/>
            <w:vAlign w:val="center"/>
          </w:tcPr>
          <w:p w14:paraId="244114D0" w14:textId="018784DE" w:rsidR="00722C1B" w:rsidRPr="00992F50" w:rsidRDefault="00127FBC" w:rsidP="00127FBC">
            <w:pPr>
              <w:rPr>
                <w:sz w:val="22"/>
                <w:szCs w:val="22"/>
              </w:rPr>
            </w:pPr>
            <w:r w:rsidRPr="00992F50">
              <w:rPr>
                <w:sz w:val="22"/>
                <w:szCs w:val="22"/>
              </w:rPr>
              <w:t>A, B, C, D, E, F, G, J, K, L, M, N, O, P, Q</w:t>
            </w:r>
          </w:p>
        </w:tc>
      </w:tr>
      <w:tr w:rsidR="00722C1B" w14:paraId="736FA029" w14:textId="77777777" w:rsidTr="00CD3F63">
        <w:tc>
          <w:tcPr>
            <w:tcW w:w="4675" w:type="dxa"/>
            <w:vAlign w:val="center"/>
          </w:tcPr>
          <w:p w14:paraId="70196663" w14:textId="2B9B2D29" w:rsidR="00722C1B" w:rsidRPr="00992F50" w:rsidRDefault="00722C1B" w:rsidP="005E12BB">
            <w:pPr>
              <w:jc w:val="both"/>
              <w:rPr>
                <w:sz w:val="22"/>
                <w:szCs w:val="22"/>
              </w:rPr>
            </w:pPr>
            <w:proofErr w:type="spellStart"/>
            <w:r w:rsidRPr="00992F50">
              <w:rPr>
                <w:sz w:val="22"/>
                <w:szCs w:val="22"/>
              </w:rPr>
              <w:t>Houseal</w:t>
            </w:r>
            <w:proofErr w:type="spellEnd"/>
            <w:r w:rsidRPr="00992F50">
              <w:rPr>
                <w:sz w:val="22"/>
                <w:szCs w:val="22"/>
              </w:rPr>
              <w:t xml:space="preserve"> Lavigne Associates, LLC</w:t>
            </w:r>
          </w:p>
        </w:tc>
        <w:tc>
          <w:tcPr>
            <w:tcW w:w="4675" w:type="dxa"/>
            <w:vAlign w:val="center"/>
          </w:tcPr>
          <w:p w14:paraId="1979DF13" w14:textId="7DDE98C0" w:rsidR="00722C1B" w:rsidRPr="00992F50" w:rsidRDefault="00C645A1" w:rsidP="00C645A1">
            <w:pPr>
              <w:rPr>
                <w:sz w:val="22"/>
                <w:szCs w:val="22"/>
              </w:rPr>
            </w:pPr>
            <w:r w:rsidRPr="00992F50">
              <w:rPr>
                <w:sz w:val="22"/>
                <w:szCs w:val="22"/>
              </w:rPr>
              <w:t>A, B, C, D, E, F, G, H, I, J, K, L, M, N, O, P, Q</w:t>
            </w:r>
          </w:p>
        </w:tc>
      </w:tr>
      <w:tr w:rsidR="00722C1B" w14:paraId="5B1DBDA8" w14:textId="77777777" w:rsidTr="00CD3F63">
        <w:tc>
          <w:tcPr>
            <w:tcW w:w="4675" w:type="dxa"/>
            <w:vAlign w:val="center"/>
          </w:tcPr>
          <w:p w14:paraId="1C6030F2" w14:textId="593D42E7" w:rsidR="00722C1B" w:rsidRPr="00992F50" w:rsidRDefault="00A30F0B" w:rsidP="005E12BB">
            <w:pPr>
              <w:jc w:val="both"/>
              <w:rPr>
                <w:sz w:val="22"/>
                <w:szCs w:val="22"/>
              </w:rPr>
            </w:pPr>
            <w:proofErr w:type="spellStart"/>
            <w:r w:rsidRPr="00992F50">
              <w:rPr>
                <w:sz w:val="22"/>
                <w:szCs w:val="22"/>
              </w:rPr>
              <w:t>Kendig</w:t>
            </w:r>
            <w:proofErr w:type="spellEnd"/>
            <w:r w:rsidRPr="00992F50">
              <w:rPr>
                <w:sz w:val="22"/>
                <w:szCs w:val="22"/>
              </w:rPr>
              <w:t xml:space="preserve"> </w:t>
            </w:r>
            <w:proofErr w:type="spellStart"/>
            <w:r w:rsidRPr="00992F50">
              <w:rPr>
                <w:sz w:val="22"/>
                <w:szCs w:val="22"/>
              </w:rPr>
              <w:t>Keast</w:t>
            </w:r>
            <w:proofErr w:type="spellEnd"/>
            <w:r w:rsidRPr="00992F50">
              <w:rPr>
                <w:sz w:val="22"/>
                <w:szCs w:val="22"/>
              </w:rPr>
              <w:t xml:space="preserve"> Collaborative</w:t>
            </w:r>
          </w:p>
        </w:tc>
        <w:tc>
          <w:tcPr>
            <w:tcW w:w="4675" w:type="dxa"/>
            <w:vAlign w:val="center"/>
          </w:tcPr>
          <w:p w14:paraId="314264B2" w14:textId="1BC02AE7" w:rsidR="00722C1B" w:rsidRPr="00992F50" w:rsidRDefault="001C7AB1" w:rsidP="001C7AB1">
            <w:pPr>
              <w:rPr>
                <w:sz w:val="22"/>
                <w:szCs w:val="22"/>
              </w:rPr>
            </w:pPr>
            <w:r w:rsidRPr="00992F50">
              <w:rPr>
                <w:sz w:val="22"/>
                <w:szCs w:val="22"/>
              </w:rPr>
              <w:t>C, G</w:t>
            </w:r>
          </w:p>
        </w:tc>
      </w:tr>
      <w:tr w:rsidR="00722C1B" w14:paraId="1F05AA0F" w14:textId="77777777" w:rsidTr="00CD3F63">
        <w:tc>
          <w:tcPr>
            <w:tcW w:w="4675" w:type="dxa"/>
            <w:vAlign w:val="center"/>
          </w:tcPr>
          <w:p w14:paraId="1F01AA54" w14:textId="460A8241" w:rsidR="00722C1B" w:rsidRPr="00992F50" w:rsidRDefault="00A30F0B" w:rsidP="005E12BB">
            <w:pPr>
              <w:jc w:val="both"/>
              <w:rPr>
                <w:sz w:val="22"/>
                <w:szCs w:val="22"/>
              </w:rPr>
            </w:pPr>
            <w:r w:rsidRPr="00992F50">
              <w:rPr>
                <w:sz w:val="22"/>
                <w:szCs w:val="22"/>
              </w:rPr>
              <w:t>Lionheart Places LLC</w:t>
            </w:r>
          </w:p>
        </w:tc>
        <w:tc>
          <w:tcPr>
            <w:tcW w:w="4675" w:type="dxa"/>
            <w:vAlign w:val="center"/>
          </w:tcPr>
          <w:p w14:paraId="1DF01942" w14:textId="62AF20DC" w:rsidR="00722C1B" w:rsidRPr="00992F50" w:rsidRDefault="001D6D7E" w:rsidP="00431E8E">
            <w:pPr>
              <w:rPr>
                <w:sz w:val="22"/>
                <w:szCs w:val="22"/>
              </w:rPr>
            </w:pPr>
            <w:r w:rsidRPr="00992F50">
              <w:t>A, B, C, D, E, F, I, J, K, L, M, N, O, P, Q</w:t>
            </w:r>
          </w:p>
        </w:tc>
      </w:tr>
      <w:tr w:rsidR="00722C1B" w14:paraId="0A163361" w14:textId="77777777" w:rsidTr="00CB3009">
        <w:tc>
          <w:tcPr>
            <w:tcW w:w="4675" w:type="dxa"/>
            <w:vAlign w:val="center"/>
          </w:tcPr>
          <w:p w14:paraId="3759B3F4" w14:textId="5F51405B" w:rsidR="00722C1B" w:rsidRPr="00992F50" w:rsidRDefault="00A30F0B" w:rsidP="005E12BB">
            <w:pPr>
              <w:jc w:val="both"/>
              <w:rPr>
                <w:sz w:val="22"/>
                <w:szCs w:val="22"/>
              </w:rPr>
            </w:pPr>
            <w:r w:rsidRPr="00992F50">
              <w:rPr>
                <w:sz w:val="22"/>
                <w:szCs w:val="22"/>
              </w:rPr>
              <w:t>M2L Associates, Inc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07595B74" w14:textId="56A60AB7" w:rsidR="00722C1B" w:rsidRPr="00992F50" w:rsidRDefault="00720A23" w:rsidP="00720A23">
            <w:pPr>
              <w:rPr>
                <w:sz w:val="22"/>
                <w:szCs w:val="22"/>
              </w:rPr>
            </w:pPr>
            <w:r w:rsidRPr="00992F50">
              <w:rPr>
                <w:sz w:val="22"/>
                <w:szCs w:val="22"/>
              </w:rPr>
              <w:t>A, D, J</w:t>
            </w:r>
          </w:p>
        </w:tc>
      </w:tr>
      <w:tr w:rsidR="00722C1B" w14:paraId="752B1AA1" w14:textId="77777777" w:rsidTr="00CD3F63">
        <w:tc>
          <w:tcPr>
            <w:tcW w:w="4675" w:type="dxa"/>
            <w:vAlign w:val="center"/>
          </w:tcPr>
          <w:p w14:paraId="10BDD999" w14:textId="0A241049" w:rsidR="00722C1B" w:rsidRPr="00992F50" w:rsidRDefault="00A30F0B" w:rsidP="005E12BB">
            <w:pPr>
              <w:jc w:val="both"/>
              <w:rPr>
                <w:sz w:val="22"/>
                <w:szCs w:val="22"/>
              </w:rPr>
            </w:pPr>
            <w:r w:rsidRPr="00992F50">
              <w:rPr>
                <w:sz w:val="22"/>
                <w:szCs w:val="22"/>
              </w:rPr>
              <w:t>Places Southwest, Inc. dba Sites Southwest, Ltd. Co</w:t>
            </w:r>
          </w:p>
        </w:tc>
        <w:tc>
          <w:tcPr>
            <w:tcW w:w="4675" w:type="dxa"/>
            <w:vAlign w:val="center"/>
          </w:tcPr>
          <w:p w14:paraId="5E516F63" w14:textId="3F4F891D" w:rsidR="00722C1B" w:rsidRPr="00992F50" w:rsidRDefault="00C64451" w:rsidP="005E12BB">
            <w:pPr>
              <w:jc w:val="both"/>
              <w:rPr>
                <w:sz w:val="22"/>
                <w:szCs w:val="22"/>
              </w:rPr>
            </w:pPr>
            <w:r w:rsidRPr="00992F50">
              <w:rPr>
                <w:sz w:val="22"/>
                <w:szCs w:val="22"/>
              </w:rPr>
              <w:t>A, B, C, D, E, F, G, I, J, K, L, M, N, O, P, Q</w:t>
            </w:r>
          </w:p>
        </w:tc>
      </w:tr>
      <w:tr w:rsidR="00722C1B" w14:paraId="4ACADA1A" w14:textId="77777777" w:rsidTr="00CD3F63">
        <w:tc>
          <w:tcPr>
            <w:tcW w:w="4675" w:type="dxa"/>
            <w:vAlign w:val="center"/>
          </w:tcPr>
          <w:p w14:paraId="11A98163" w14:textId="4A05F4D3" w:rsidR="00722C1B" w:rsidRPr="00992F50" w:rsidRDefault="00A30F0B" w:rsidP="005E12BB">
            <w:pPr>
              <w:jc w:val="both"/>
              <w:rPr>
                <w:sz w:val="22"/>
                <w:szCs w:val="22"/>
              </w:rPr>
            </w:pPr>
            <w:r w:rsidRPr="00992F50">
              <w:rPr>
                <w:sz w:val="22"/>
                <w:szCs w:val="22"/>
              </w:rPr>
              <w:t>Stantec Consulting Services Inc</w:t>
            </w:r>
          </w:p>
        </w:tc>
        <w:tc>
          <w:tcPr>
            <w:tcW w:w="4675" w:type="dxa"/>
            <w:vAlign w:val="center"/>
          </w:tcPr>
          <w:p w14:paraId="2ED55FD9" w14:textId="569A15E1" w:rsidR="00722C1B" w:rsidRPr="00992F50" w:rsidRDefault="00127FBC" w:rsidP="00127FBC">
            <w:pPr>
              <w:rPr>
                <w:sz w:val="22"/>
                <w:szCs w:val="22"/>
              </w:rPr>
            </w:pPr>
            <w:r w:rsidRPr="00992F50">
              <w:rPr>
                <w:sz w:val="22"/>
                <w:szCs w:val="22"/>
              </w:rPr>
              <w:t>A, B, C, D, E, F, G, H, I, J, K, L, M, N, O, P, Q</w:t>
            </w:r>
          </w:p>
        </w:tc>
      </w:tr>
      <w:tr w:rsidR="00722C1B" w14:paraId="1778CBB1" w14:textId="77777777" w:rsidTr="00CD3F63">
        <w:tc>
          <w:tcPr>
            <w:tcW w:w="4675" w:type="dxa"/>
            <w:vAlign w:val="center"/>
          </w:tcPr>
          <w:p w14:paraId="101A5F7C" w14:textId="490AD521" w:rsidR="00722C1B" w:rsidRPr="00992F50" w:rsidRDefault="00A30F0B" w:rsidP="005E12BB">
            <w:pPr>
              <w:jc w:val="both"/>
              <w:rPr>
                <w:sz w:val="22"/>
                <w:szCs w:val="22"/>
              </w:rPr>
            </w:pPr>
            <w:r w:rsidRPr="00992F50">
              <w:rPr>
                <w:sz w:val="22"/>
                <w:szCs w:val="22"/>
              </w:rPr>
              <w:t>Terry Stokes dba New Markets Economic Strategies, LLC</w:t>
            </w:r>
          </w:p>
        </w:tc>
        <w:tc>
          <w:tcPr>
            <w:tcW w:w="4675" w:type="dxa"/>
            <w:vAlign w:val="center"/>
          </w:tcPr>
          <w:p w14:paraId="5ECDC7D9" w14:textId="364F52C4" w:rsidR="00722C1B" w:rsidRPr="00992F50" w:rsidRDefault="006127EB" w:rsidP="006127EB">
            <w:pPr>
              <w:rPr>
                <w:sz w:val="22"/>
                <w:szCs w:val="22"/>
              </w:rPr>
            </w:pPr>
            <w:r w:rsidRPr="00992F50">
              <w:t>C, E, F, I, M, N, O, P</w:t>
            </w:r>
          </w:p>
        </w:tc>
      </w:tr>
      <w:tr w:rsidR="00722C1B" w14:paraId="7DA0202A" w14:textId="77777777" w:rsidTr="00CD3F63">
        <w:tc>
          <w:tcPr>
            <w:tcW w:w="4675" w:type="dxa"/>
            <w:vAlign w:val="center"/>
          </w:tcPr>
          <w:p w14:paraId="42D8F9A5" w14:textId="5B02BEBE" w:rsidR="00722C1B" w:rsidRPr="00992F50" w:rsidRDefault="00A30F0B" w:rsidP="005E12BB">
            <w:pPr>
              <w:jc w:val="both"/>
              <w:rPr>
                <w:sz w:val="22"/>
                <w:szCs w:val="22"/>
              </w:rPr>
            </w:pPr>
            <w:r w:rsidRPr="00992F50">
              <w:rPr>
                <w:sz w:val="22"/>
                <w:szCs w:val="22"/>
              </w:rPr>
              <w:t>Traffic Engineers, Inc</w:t>
            </w:r>
          </w:p>
        </w:tc>
        <w:tc>
          <w:tcPr>
            <w:tcW w:w="4675" w:type="dxa"/>
            <w:vAlign w:val="center"/>
          </w:tcPr>
          <w:p w14:paraId="18EE00C4" w14:textId="467C80FB" w:rsidR="00722C1B" w:rsidRPr="00992F50" w:rsidRDefault="008668CE" w:rsidP="005E12BB">
            <w:pPr>
              <w:jc w:val="both"/>
              <w:rPr>
                <w:sz w:val="22"/>
                <w:szCs w:val="22"/>
              </w:rPr>
            </w:pPr>
            <w:r w:rsidRPr="00992F50">
              <w:rPr>
                <w:sz w:val="22"/>
                <w:szCs w:val="22"/>
              </w:rPr>
              <w:t>A,</w:t>
            </w:r>
            <w:r w:rsidR="001C7AB1" w:rsidRPr="00992F50">
              <w:rPr>
                <w:sz w:val="22"/>
                <w:szCs w:val="22"/>
              </w:rPr>
              <w:t xml:space="preserve"> </w:t>
            </w:r>
            <w:r w:rsidRPr="00992F50">
              <w:rPr>
                <w:sz w:val="22"/>
                <w:szCs w:val="22"/>
              </w:rPr>
              <w:t>B,</w:t>
            </w:r>
            <w:r w:rsidR="00992F50" w:rsidRPr="00992F50">
              <w:rPr>
                <w:sz w:val="22"/>
                <w:szCs w:val="22"/>
              </w:rPr>
              <w:t xml:space="preserve"> </w:t>
            </w:r>
            <w:r w:rsidRPr="00992F50">
              <w:rPr>
                <w:sz w:val="22"/>
                <w:szCs w:val="22"/>
              </w:rPr>
              <w:t>C,</w:t>
            </w:r>
            <w:r w:rsidR="001C7AB1" w:rsidRPr="00992F50">
              <w:rPr>
                <w:sz w:val="22"/>
                <w:szCs w:val="22"/>
              </w:rPr>
              <w:t xml:space="preserve"> </w:t>
            </w:r>
            <w:r w:rsidRPr="00992F50">
              <w:rPr>
                <w:sz w:val="22"/>
                <w:szCs w:val="22"/>
              </w:rPr>
              <w:t>D, E, F, G, I, J, K, L, M, N,</w:t>
            </w:r>
            <w:r w:rsidR="00992F50" w:rsidRPr="00992F50">
              <w:rPr>
                <w:sz w:val="22"/>
                <w:szCs w:val="22"/>
              </w:rPr>
              <w:t xml:space="preserve"> O,</w:t>
            </w:r>
            <w:r w:rsidRPr="00992F50">
              <w:rPr>
                <w:sz w:val="22"/>
                <w:szCs w:val="22"/>
              </w:rPr>
              <w:t xml:space="preserve"> P, Q</w:t>
            </w:r>
          </w:p>
        </w:tc>
      </w:tr>
    </w:tbl>
    <w:p w14:paraId="0D64B594" w14:textId="77777777" w:rsidR="00A957CD" w:rsidRPr="006B24DA" w:rsidRDefault="00A957CD" w:rsidP="005E12BB">
      <w:pPr>
        <w:jc w:val="both"/>
        <w:rPr>
          <w:sz w:val="22"/>
          <w:szCs w:val="22"/>
        </w:rPr>
      </w:pPr>
    </w:p>
    <w:sectPr w:rsidR="00A957CD" w:rsidRPr="006B24DA" w:rsidSect="00112356">
      <w:head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C4CAF" w14:textId="77777777" w:rsidR="004052AA" w:rsidRDefault="004052AA" w:rsidP="001555F4">
      <w:r>
        <w:separator/>
      </w:r>
    </w:p>
  </w:endnote>
  <w:endnote w:type="continuationSeparator" w:id="0">
    <w:p w14:paraId="5DB3FA90" w14:textId="77777777" w:rsidR="004052AA" w:rsidRDefault="004052AA" w:rsidP="00155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6A766" w14:textId="77777777" w:rsidR="004052AA" w:rsidRDefault="004052AA" w:rsidP="001555F4">
      <w:r>
        <w:separator/>
      </w:r>
    </w:p>
  </w:footnote>
  <w:footnote w:type="continuationSeparator" w:id="0">
    <w:p w14:paraId="7C68D6D5" w14:textId="77777777" w:rsidR="004052AA" w:rsidRDefault="004052AA" w:rsidP="00155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9BBC6" w14:textId="77777777" w:rsidR="003D6BA6" w:rsidRPr="001A1E14" w:rsidRDefault="003D6BA6" w:rsidP="001A1E14">
    <w:pPr>
      <w:pStyle w:val="Header"/>
      <w:jc w:val="right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46A21"/>
    <w:multiLevelType w:val="hybridMultilevel"/>
    <w:tmpl w:val="07103E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35931"/>
    <w:multiLevelType w:val="hybridMultilevel"/>
    <w:tmpl w:val="CEF07016"/>
    <w:lvl w:ilvl="0" w:tplc="E72635B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259A7"/>
    <w:multiLevelType w:val="hybridMultilevel"/>
    <w:tmpl w:val="30E2DE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D468F"/>
    <w:multiLevelType w:val="hybridMultilevel"/>
    <w:tmpl w:val="9B9881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74F49"/>
    <w:multiLevelType w:val="hybridMultilevel"/>
    <w:tmpl w:val="0A5A821E"/>
    <w:lvl w:ilvl="0" w:tplc="61CC2DF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9363A9"/>
    <w:multiLevelType w:val="hybridMultilevel"/>
    <w:tmpl w:val="61C4153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03A"/>
    <w:rsid w:val="000024FB"/>
    <w:rsid w:val="0001182D"/>
    <w:rsid w:val="00012ACD"/>
    <w:rsid w:val="00017B82"/>
    <w:rsid w:val="00025FFF"/>
    <w:rsid w:val="00031E21"/>
    <w:rsid w:val="000353D4"/>
    <w:rsid w:val="00037755"/>
    <w:rsid w:val="00045004"/>
    <w:rsid w:val="00046629"/>
    <w:rsid w:val="000510FB"/>
    <w:rsid w:val="00051323"/>
    <w:rsid w:val="000804F5"/>
    <w:rsid w:val="00080A82"/>
    <w:rsid w:val="000854A8"/>
    <w:rsid w:val="00090B67"/>
    <w:rsid w:val="000A26D8"/>
    <w:rsid w:val="000A2FE8"/>
    <w:rsid w:val="000A4445"/>
    <w:rsid w:val="000B1E53"/>
    <w:rsid w:val="000B2DFE"/>
    <w:rsid w:val="000D13AD"/>
    <w:rsid w:val="000D5968"/>
    <w:rsid w:val="000D602C"/>
    <w:rsid w:val="000D7F78"/>
    <w:rsid w:val="000F0E68"/>
    <w:rsid w:val="000F2A28"/>
    <w:rsid w:val="000F3541"/>
    <w:rsid w:val="001015A7"/>
    <w:rsid w:val="00102A51"/>
    <w:rsid w:val="001051DD"/>
    <w:rsid w:val="0010697E"/>
    <w:rsid w:val="00112356"/>
    <w:rsid w:val="00126026"/>
    <w:rsid w:val="00127FBC"/>
    <w:rsid w:val="00136869"/>
    <w:rsid w:val="00137630"/>
    <w:rsid w:val="0014001C"/>
    <w:rsid w:val="00144E6C"/>
    <w:rsid w:val="00145BBF"/>
    <w:rsid w:val="00150BD3"/>
    <w:rsid w:val="00154AC1"/>
    <w:rsid w:val="001555F4"/>
    <w:rsid w:val="00160C3B"/>
    <w:rsid w:val="00161587"/>
    <w:rsid w:val="00166D0E"/>
    <w:rsid w:val="00170CA9"/>
    <w:rsid w:val="001731A0"/>
    <w:rsid w:val="00174648"/>
    <w:rsid w:val="00176EC9"/>
    <w:rsid w:val="001772B9"/>
    <w:rsid w:val="00181DDF"/>
    <w:rsid w:val="001828F7"/>
    <w:rsid w:val="00191640"/>
    <w:rsid w:val="0019193E"/>
    <w:rsid w:val="001A1E14"/>
    <w:rsid w:val="001A5C5B"/>
    <w:rsid w:val="001A7F45"/>
    <w:rsid w:val="001C16D2"/>
    <w:rsid w:val="001C2EA9"/>
    <w:rsid w:val="001C5537"/>
    <w:rsid w:val="001C6107"/>
    <w:rsid w:val="001C7AB1"/>
    <w:rsid w:val="001C7B42"/>
    <w:rsid w:val="001D6D7E"/>
    <w:rsid w:val="001F0C86"/>
    <w:rsid w:val="001F79C9"/>
    <w:rsid w:val="0020122C"/>
    <w:rsid w:val="00204079"/>
    <w:rsid w:val="002135FF"/>
    <w:rsid w:val="00215AF2"/>
    <w:rsid w:val="00223EC3"/>
    <w:rsid w:val="00243E3B"/>
    <w:rsid w:val="00255300"/>
    <w:rsid w:val="002569C0"/>
    <w:rsid w:val="00257F2C"/>
    <w:rsid w:val="002627F7"/>
    <w:rsid w:val="00264A04"/>
    <w:rsid w:val="0026592A"/>
    <w:rsid w:val="00267D3D"/>
    <w:rsid w:val="00271E85"/>
    <w:rsid w:val="00273B42"/>
    <w:rsid w:val="00277E14"/>
    <w:rsid w:val="00280A3C"/>
    <w:rsid w:val="00283226"/>
    <w:rsid w:val="0028341C"/>
    <w:rsid w:val="00285E3D"/>
    <w:rsid w:val="00290405"/>
    <w:rsid w:val="00297BF7"/>
    <w:rsid w:val="002A373F"/>
    <w:rsid w:val="002A4F12"/>
    <w:rsid w:val="002B045A"/>
    <w:rsid w:val="002B2E3C"/>
    <w:rsid w:val="002B5D74"/>
    <w:rsid w:val="002B7988"/>
    <w:rsid w:val="002C38CA"/>
    <w:rsid w:val="002C592A"/>
    <w:rsid w:val="002C7CA3"/>
    <w:rsid w:val="002D14C5"/>
    <w:rsid w:val="002D5E64"/>
    <w:rsid w:val="002D63F3"/>
    <w:rsid w:val="002D7229"/>
    <w:rsid w:val="002D7A4F"/>
    <w:rsid w:val="002D7B14"/>
    <w:rsid w:val="002F3D52"/>
    <w:rsid w:val="0031046D"/>
    <w:rsid w:val="00313482"/>
    <w:rsid w:val="00317318"/>
    <w:rsid w:val="00321F40"/>
    <w:rsid w:val="003234F3"/>
    <w:rsid w:val="003252B0"/>
    <w:rsid w:val="003338F6"/>
    <w:rsid w:val="00336633"/>
    <w:rsid w:val="00336649"/>
    <w:rsid w:val="00353CEF"/>
    <w:rsid w:val="003676E5"/>
    <w:rsid w:val="00373881"/>
    <w:rsid w:val="00373D0B"/>
    <w:rsid w:val="003769EF"/>
    <w:rsid w:val="00377A3A"/>
    <w:rsid w:val="00383494"/>
    <w:rsid w:val="00383804"/>
    <w:rsid w:val="003848AE"/>
    <w:rsid w:val="00392CAA"/>
    <w:rsid w:val="003934FC"/>
    <w:rsid w:val="00394650"/>
    <w:rsid w:val="003A5D71"/>
    <w:rsid w:val="003C22C5"/>
    <w:rsid w:val="003C2AB4"/>
    <w:rsid w:val="003C6AFB"/>
    <w:rsid w:val="003D2124"/>
    <w:rsid w:val="003D5A75"/>
    <w:rsid w:val="003D6BA6"/>
    <w:rsid w:val="003E03A6"/>
    <w:rsid w:val="003E669B"/>
    <w:rsid w:val="003E6AF2"/>
    <w:rsid w:val="003F62A2"/>
    <w:rsid w:val="004013DE"/>
    <w:rsid w:val="00402344"/>
    <w:rsid w:val="004023BC"/>
    <w:rsid w:val="004052AA"/>
    <w:rsid w:val="004106C3"/>
    <w:rsid w:val="0041622E"/>
    <w:rsid w:val="00423171"/>
    <w:rsid w:val="004236EC"/>
    <w:rsid w:val="004246F8"/>
    <w:rsid w:val="004256F0"/>
    <w:rsid w:val="00427639"/>
    <w:rsid w:val="00431E8E"/>
    <w:rsid w:val="00431EDE"/>
    <w:rsid w:val="00433ADF"/>
    <w:rsid w:val="004402DF"/>
    <w:rsid w:val="00440F53"/>
    <w:rsid w:val="00450C25"/>
    <w:rsid w:val="0045273B"/>
    <w:rsid w:val="00470796"/>
    <w:rsid w:val="00471DDC"/>
    <w:rsid w:val="004811D5"/>
    <w:rsid w:val="00481C8D"/>
    <w:rsid w:val="004850B1"/>
    <w:rsid w:val="004924B8"/>
    <w:rsid w:val="00493BE6"/>
    <w:rsid w:val="004A15E7"/>
    <w:rsid w:val="004A4D54"/>
    <w:rsid w:val="004B5446"/>
    <w:rsid w:val="004C01C9"/>
    <w:rsid w:val="004C27FA"/>
    <w:rsid w:val="004C74D6"/>
    <w:rsid w:val="004E2DC1"/>
    <w:rsid w:val="004E35A9"/>
    <w:rsid w:val="004E4263"/>
    <w:rsid w:val="004F18D3"/>
    <w:rsid w:val="004F5C5F"/>
    <w:rsid w:val="00505FD5"/>
    <w:rsid w:val="00522126"/>
    <w:rsid w:val="00523584"/>
    <w:rsid w:val="00532194"/>
    <w:rsid w:val="00535CA5"/>
    <w:rsid w:val="00546432"/>
    <w:rsid w:val="005473C1"/>
    <w:rsid w:val="0055003A"/>
    <w:rsid w:val="00551F9D"/>
    <w:rsid w:val="005559D5"/>
    <w:rsid w:val="0057416A"/>
    <w:rsid w:val="00576855"/>
    <w:rsid w:val="00596E1A"/>
    <w:rsid w:val="005A06FD"/>
    <w:rsid w:val="005A0C33"/>
    <w:rsid w:val="005A1A79"/>
    <w:rsid w:val="005A7F30"/>
    <w:rsid w:val="005B2EEE"/>
    <w:rsid w:val="005B3A38"/>
    <w:rsid w:val="005B5E13"/>
    <w:rsid w:val="005B7323"/>
    <w:rsid w:val="005B74F1"/>
    <w:rsid w:val="005C0B35"/>
    <w:rsid w:val="005C170C"/>
    <w:rsid w:val="005D08DD"/>
    <w:rsid w:val="005E103F"/>
    <w:rsid w:val="005E12BB"/>
    <w:rsid w:val="005E1BCB"/>
    <w:rsid w:val="005E3E8A"/>
    <w:rsid w:val="005E401B"/>
    <w:rsid w:val="005F0700"/>
    <w:rsid w:val="005F36B4"/>
    <w:rsid w:val="005F77B7"/>
    <w:rsid w:val="00607ECE"/>
    <w:rsid w:val="006127EB"/>
    <w:rsid w:val="0061283A"/>
    <w:rsid w:val="006130AA"/>
    <w:rsid w:val="00617FA0"/>
    <w:rsid w:val="0062087E"/>
    <w:rsid w:val="006368D7"/>
    <w:rsid w:val="00642AB4"/>
    <w:rsid w:val="006478E4"/>
    <w:rsid w:val="0065159C"/>
    <w:rsid w:val="00660206"/>
    <w:rsid w:val="00673E96"/>
    <w:rsid w:val="00675D04"/>
    <w:rsid w:val="006867E9"/>
    <w:rsid w:val="00692AEF"/>
    <w:rsid w:val="00693244"/>
    <w:rsid w:val="00696ECD"/>
    <w:rsid w:val="00697C17"/>
    <w:rsid w:val="006A15EC"/>
    <w:rsid w:val="006A1667"/>
    <w:rsid w:val="006A16C1"/>
    <w:rsid w:val="006B24DA"/>
    <w:rsid w:val="006B5FE1"/>
    <w:rsid w:val="006D4EB3"/>
    <w:rsid w:val="006F0ABA"/>
    <w:rsid w:val="006F1CBF"/>
    <w:rsid w:val="006F4AAB"/>
    <w:rsid w:val="006F4AB6"/>
    <w:rsid w:val="006F7494"/>
    <w:rsid w:val="00701F68"/>
    <w:rsid w:val="007031DF"/>
    <w:rsid w:val="00705159"/>
    <w:rsid w:val="00705429"/>
    <w:rsid w:val="00714BF2"/>
    <w:rsid w:val="00714EF1"/>
    <w:rsid w:val="0071509F"/>
    <w:rsid w:val="00720A23"/>
    <w:rsid w:val="00722C1B"/>
    <w:rsid w:val="00723749"/>
    <w:rsid w:val="00731596"/>
    <w:rsid w:val="00735834"/>
    <w:rsid w:val="00742632"/>
    <w:rsid w:val="0074481B"/>
    <w:rsid w:val="00760052"/>
    <w:rsid w:val="00775204"/>
    <w:rsid w:val="007875D5"/>
    <w:rsid w:val="00797131"/>
    <w:rsid w:val="007A3631"/>
    <w:rsid w:val="007A39AD"/>
    <w:rsid w:val="007B10DC"/>
    <w:rsid w:val="007B7351"/>
    <w:rsid w:val="007C1040"/>
    <w:rsid w:val="007C3241"/>
    <w:rsid w:val="007C53EB"/>
    <w:rsid w:val="007F44F3"/>
    <w:rsid w:val="007F49E4"/>
    <w:rsid w:val="007F7FAC"/>
    <w:rsid w:val="00800ECE"/>
    <w:rsid w:val="00801A46"/>
    <w:rsid w:val="00803C89"/>
    <w:rsid w:val="00803D96"/>
    <w:rsid w:val="00806BB6"/>
    <w:rsid w:val="00823038"/>
    <w:rsid w:val="00832CD3"/>
    <w:rsid w:val="008376C8"/>
    <w:rsid w:val="008550B8"/>
    <w:rsid w:val="00856477"/>
    <w:rsid w:val="00865EC4"/>
    <w:rsid w:val="008668CE"/>
    <w:rsid w:val="00866E40"/>
    <w:rsid w:val="00871429"/>
    <w:rsid w:val="0087339A"/>
    <w:rsid w:val="00874EA5"/>
    <w:rsid w:val="00877C2A"/>
    <w:rsid w:val="00881342"/>
    <w:rsid w:val="00882EB9"/>
    <w:rsid w:val="008863CC"/>
    <w:rsid w:val="00893880"/>
    <w:rsid w:val="008A0259"/>
    <w:rsid w:val="008A044A"/>
    <w:rsid w:val="008A61B7"/>
    <w:rsid w:val="008B0B00"/>
    <w:rsid w:val="008B303A"/>
    <w:rsid w:val="008C1A42"/>
    <w:rsid w:val="008C4B2B"/>
    <w:rsid w:val="008C4C8E"/>
    <w:rsid w:val="008E3929"/>
    <w:rsid w:val="008E63E2"/>
    <w:rsid w:val="008E642B"/>
    <w:rsid w:val="008F4337"/>
    <w:rsid w:val="00901A20"/>
    <w:rsid w:val="009108F0"/>
    <w:rsid w:val="00914C1B"/>
    <w:rsid w:val="0091738D"/>
    <w:rsid w:val="0092616A"/>
    <w:rsid w:val="00936E9E"/>
    <w:rsid w:val="00942BE3"/>
    <w:rsid w:val="00943665"/>
    <w:rsid w:val="00953F2A"/>
    <w:rsid w:val="009639DF"/>
    <w:rsid w:val="00974320"/>
    <w:rsid w:val="00990C6F"/>
    <w:rsid w:val="00992F50"/>
    <w:rsid w:val="009964F1"/>
    <w:rsid w:val="009975DF"/>
    <w:rsid w:val="009A0F85"/>
    <w:rsid w:val="009B2D5D"/>
    <w:rsid w:val="009B4DBF"/>
    <w:rsid w:val="009B7E62"/>
    <w:rsid w:val="009C13EE"/>
    <w:rsid w:val="009C7A9F"/>
    <w:rsid w:val="009D55AC"/>
    <w:rsid w:val="009E66FD"/>
    <w:rsid w:val="009E7F1F"/>
    <w:rsid w:val="009F4D13"/>
    <w:rsid w:val="00A12C25"/>
    <w:rsid w:val="00A16C9A"/>
    <w:rsid w:val="00A1772C"/>
    <w:rsid w:val="00A21ABD"/>
    <w:rsid w:val="00A26B87"/>
    <w:rsid w:val="00A30E65"/>
    <w:rsid w:val="00A30F0B"/>
    <w:rsid w:val="00A31D5B"/>
    <w:rsid w:val="00A335C9"/>
    <w:rsid w:val="00A428D6"/>
    <w:rsid w:val="00A440D7"/>
    <w:rsid w:val="00A460BF"/>
    <w:rsid w:val="00A50791"/>
    <w:rsid w:val="00A523A8"/>
    <w:rsid w:val="00A52A65"/>
    <w:rsid w:val="00A54486"/>
    <w:rsid w:val="00A56B70"/>
    <w:rsid w:val="00A56C56"/>
    <w:rsid w:val="00A82EED"/>
    <w:rsid w:val="00A86082"/>
    <w:rsid w:val="00A936C4"/>
    <w:rsid w:val="00A957CD"/>
    <w:rsid w:val="00AA1D4B"/>
    <w:rsid w:val="00AB0286"/>
    <w:rsid w:val="00AB1444"/>
    <w:rsid w:val="00AB6F5C"/>
    <w:rsid w:val="00AB7359"/>
    <w:rsid w:val="00AB7475"/>
    <w:rsid w:val="00AD1824"/>
    <w:rsid w:val="00AD20E2"/>
    <w:rsid w:val="00AD287F"/>
    <w:rsid w:val="00AD4F68"/>
    <w:rsid w:val="00AF0070"/>
    <w:rsid w:val="00AF5ED9"/>
    <w:rsid w:val="00B01E4E"/>
    <w:rsid w:val="00B056C2"/>
    <w:rsid w:val="00B1013D"/>
    <w:rsid w:val="00B16E53"/>
    <w:rsid w:val="00B20889"/>
    <w:rsid w:val="00B36FA3"/>
    <w:rsid w:val="00B4208B"/>
    <w:rsid w:val="00B423E7"/>
    <w:rsid w:val="00B5135B"/>
    <w:rsid w:val="00B63E78"/>
    <w:rsid w:val="00B750FE"/>
    <w:rsid w:val="00B764C1"/>
    <w:rsid w:val="00B8793E"/>
    <w:rsid w:val="00B90341"/>
    <w:rsid w:val="00B906E7"/>
    <w:rsid w:val="00B9143C"/>
    <w:rsid w:val="00B95922"/>
    <w:rsid w:val="00BA230A"/>
    <w:rsid w:val="00BA3CF4"/>
    <w:rsid w:val="00BA60DF"/>
    <w:rsid w:val="00BA6D5F"/>
    <w:rsid w:val="00BA7B3A"/>
    <w:rsid w:val="00BC6B11"/>
    <w:rsid w:val="00BD24C5"/>
    <w:rsid w:val="00BD53D7"/>
    <w:rsid w:val="00BE428A"/>
    <w:rsid w:val="00BE522E"/>
    <w:rsid w:val="00BF2382"/>
    <w:rsid w:val="00C02E6A"/>
    <w:rsid w:val="00C0694C"/>
    <w:rsid w:val="00C11CDC"/>
    <w:rsid w:val="00C11F37"/>
    <w:rsid w:val="00C150D5"/>
    <w:rsid w:val="00C22F2F"/>
    <w:rsid w:val="00C33183"/>
    <w:rsid w:val="00C361F2"/>
    <w:rsid w:val="00C36825"/>
    <w:rsid w:val="00C40514"/>
    <w:rsid w:val="00C44A9B"/>
    <w:rsid w:val="00C46465"/>
    <w:rsid w:val="00C572F9"/>
    <w:rsid w:val="00C57816"/>
    <w:rsid w:val="00C60147"/>
    <w:rsid w:val="00C60EC6"/>
    <w:rsid w:val="00C62483"/>
    <w:rsid w:val="00C6362A"/>
    <w:rsid w:val="00C64451"/>
    <w:rsid w:val="00C645A1"/>
    <w:rsid w:val="00C67ADB"/>
    <w:rsid w:val="00C778D6"/>
    <w:rsid w:val="00C8572D"/>
    <w:rsid w:val="00C871EE"/>
    <w:rsid w:val="00C9328B"/>
    <w:rsid w:val="00C93BC3"/>
    <w:rsid w:val="00C94CE1"/>
    <w:rsid w:val="00C952ED"/>
    <w:rsid w:val="00C977F8"/>
    <w:rsid w:val="00CA2DA1"/>
    <w:rsid w:val="00CB3009"/>
    <w:rsid w:val="00CB39CC"/>
    <w:rsid w:val="00CC3CBD"/>
    <w:rsid w:val="00CD0DCE"/>
    <w:rsid w:val="00CD3F63"/>
    <w:rsid w:val="00CD63CD"/>
    <w:rsid w:val="00CE0EBB"/>
    <w:rsid w:val="00CE21E5"/>
    <w:rsid w:val="00CE7794"/>
    <w:rsid w:val="00CF14C8"/>
    <w:rsid w:val="00CF2DEE"/>
    <w:rsid w:val="00CF3A30"/>
    <w:rsid w:val="00CF689E"/>
    <w:rsid w:val="00D11A6E"/>
    <w:rsid w:val="00D24CE2"/>
    <w:rsid w:val="00D27565"/>
    <w:rsid w:val="00D337B1"/>
    <w:rsid w:val="00D559CB"/>
    <w:rsid w:val="00D620CA"/>
    <w:rsid w:val="00D63A25"/>
    <w:rsid w:val="00D6627A"/>
    <w:rsid w:val="00D70921"/>
    <w:rsid w:val="00D754FC"/>
    <w:rsid w:val="00D809E6"/>
    <w:rsid w:val="00D8401E"/>
    <w:rsid w:val="00D8660B"/>
    <w:rsid w:val="00DA254E"/>
    <w:rsid w:val="00DA7A12"/>
    <w:rsid w:val="00DB0A00"/>
    <w:rsid w:val="00DB1106"/>
    <w:rsid w:val="00DD0ED9"/>
    <w:rsid w:val="00DE3E3C"/>
    <w:rsid w:val="00DE440D"/>
    <w:rsid w:val="00DE5642"/>
    <w:rsid w:val="00E00BE8"/>
    <w:rsid w:val="00E02A1D"/>
    <w:rsid w:val="00E066E0"/>
    <w:rsid w:val="00E14BC6"/>
    <w:rsid w:val="00E23EB4"/>
    <w:rsid w:val="00E24293"/>
    <w:rsid w:val="00E270B0"/>
    <w:rsid w:val="00E30058"/>
    <w:rsid w:val="00E31BD0"/>
    <w:rsid w:val="00E346A8"/>
    <w:rsid w:val="00E34972"/>
    <w:rsid w:val="00E409DA"/>
    <w:rsid w:val="00E40AEC"/>
    <w:rsid w:val="00E4462D"/>
    <w:rsid w:val="00E55377"/>
    <w:rsid w:val="00E6289F"/>
    <w:rsid w:val="00E71942"/>
    <w:rsid w:val="00E73148"/>
    <w:rsid w:val="00E73BC9"/>
    <w:rsid w:val="00E84415"/>
    <w:rsid w:val="00E92204"/>
    <w:rsid w:val="00E94F4B"/>
    <w:rsid w:val="00EA27AA"/>
    <w:rsid w:val="00EC040F"/>
    <w:rsid w:val="00EC6ACA"/>
    <w:rsid w:val="00EE1F9D"/>
    <w:rsid w:val="00EE32D4"/>
    <w:rsid w:val="00EE68CD"/>
    <w:rsid w:val="00EE7BFC"/>
    <w:rsid w:val="00F03AB6"/>
    <w:rsid w:val="00F10E47"/>
    <w:rsid w:val="00F16810"/>
    <w:rsid w:val="00F31624"/>
    <w:rsid w:val="00F32707"/>
    <w:rsid w:val="00F34669"/>
    <w:rsid w:val="00F351FE"/>
    <w:rsid w:val="00F515F0"/>
    <w:rsid w:val="00F84BAC"/>
    <w:rsid w:val="00F85BF7"/>
    <w:rsid w:val="00F91367"/>
    <w:rsid w:val="00F96067"/>
    <w:rsid w:val="00F9727B"/>
    <w:rsid w:val="00FA2D5C"/>
    <w:rsid w:val="00FB2D84"/>
    <w:rsid w:val="00FC236C"/>
    <w:rsid w:val="00FC2A78"/>
    <w:rsid w:val="00FD1FE1"/>
    <w:rsid w:val="00FD3855"/>
    <w:rsid w:val="00FE5647"/>
    <w:rsid w:val="00FF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EA1EA1"/>
  <w15:docId w15:val="{F1604FC5-FE4C-4403-9C99-65E08A2C8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6D5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E1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3C22C5"/>
    <w:rPr>
      <w:color w:val="0000FF"/>
      <w:u w:val="single"/>
    </w:rPr>
  </w:style>
  <w:style w:type="character" w:styleId="FollowedHyperlink">
    <w:name w:val="FollowedHyperlink"/>
    <w:basedOn w:val="DefaultParagraphFont"/>
    <w:rsid w:val="003C22C5"/>
    <w:rPr>
      <w:color w:val="800080"/>
      <w:u w:val="single"/>
    </w:rPr>
  </w:style>
  <w:style w:type="paragraph" w:customStyle="1" w:styleId="xl25">
    <w:name w:val="xl25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">
    <w:name w:val="xl26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">
    <w:name w:val="xl27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">
    <w:name w:val="xl28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9">
    <w:name w:val="xl29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">
    <w:name w:val="xl30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31">
    <w:name w:val="xl31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2">
    <w:name w:val="xl32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33">
    <w:name w:val="xl33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">
    <w:name w:val="xl34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5">
    <w:name w:val="xl35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36">
    <w:name w:val="xl36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7">
    <w:name w:val="xl37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8">
    <w:name w:val="xl38"/>
    <w:basedOn w:val="Normal"/>
    <w:rsid w:val="003C22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styleId="CommentText">
    <w:name w:val="annotation text"/>
    <w:basedOn w:val="Normal"/>
    <w:semiHidden/>
    <w:rsid w:val="007A39AD"/>
    <w:rPr>
      <w:sz w:val="20"/>
      <w:szCs w:val="20"/>
    </w:rPr>
  </w:style>
  <w:style w:type="paragraph" w:styleId="BalloonText">
    <w:name w:val="Balloon Text"/>
    <w:basedOn w:val="Normal"/>
    <w:semiHidden/>
    <w:rsid w:val="007031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555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55F4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555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55F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05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ps.hgac.net/contracts/coop/CommunityPlanningServices/Forms/AllItems.aspx?View=%7BFC077548%2DF728%2D4322%2DA1E4%2DFD4C680FC51F%7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ps.hgac.net/contracts/coop/CommunityPlanningServices/Forms/AllItems.aspx?View=%7BFC077548%2DF728%2D4322%2DA1E4%2DFD4C680FC51F%7D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5E855060E0DD499F8BF68706E62A47" ma:contentTypeVersion="1" ma:contentTypeDescription="Create a new document." ma:contentTypeScope="" ma:versionID="235a2b1f6846a9ac8f5bc1f5d9a5b43f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36e4847016aa9a1da589fd3cdc582318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XS4UZTCD5CKE-582210517-247</_dlc_DocId>
    <_dlc_DocIdUrl xmlns="9c25563e-53e4-4b7d-84b0-32ec12a2ce19">
      <Url>http://coop.hgac.net/bs/_layouts/15/DocIdRedir.aspx?ID=XS4UZTCD5CKE-582210517-247</Url>
      <Description>XS4UZTCD5CKE-582210517-247</Description>
    </_dlc_DocIdUrl>
  </documentManagement>
</p:properties>
</file>

<file path=customXml/itemProps1.xml><?xml version="1.0" encoding="utf-8"?>
<ds:datastoreItem xmlns:ds="http://schemas.openxmlformats.org/officeDocument/2006/customXml" ds:itemID="{9FF7600E-D4B2-452F-A1F6-992902F055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A7A8A4-6CDA-44F3-8481-E8084A74F17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F4ACC2E-3D90-46FA-8065-937068373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25563e-53e4-4b7d-84b0-32ec12a2c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B9CE5F-9FF9-455D-B088-4D44F2BFAEC6}">
  <ds:schemaRefs>
    <ds:schemaRef ds:uri="http://schemas.microsoft.com/office/2006/metadata/properties"/>
    <ds:schemaRef ds:uri="http://schemas.microsoft.com/office/infopath/2007/PartnerControls"/>
    <ds:schemaRef ds:uri="9c25563e-53e4-4b7d-84b0-32ec12a2ce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2270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COOPERATIVE PURCHASING PROGRAM</vt:lpstr>
    </vt:vector>
  </TitlesOfParts>
  <Company>Houston-Galveston Area Council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COOPERATIVE PURCHASING PROGRAM</dc:title>
  <dc:creator>David Northrup</dc:creator>
  <cp:lastModifiedBy>Levy, Beverly</cp:lastModifiedBy>
  <cp:revision>861</cp:revision>
  <cp:lastPrinted>2019-07-17T11:11:00Z</cp:lastPrinted>
  <dcterms:created xsi:type="dcterms:W3CDTF">2019-10-21T16:18:00Z</dcterms:created>
  <dcterms:modified xsi:type="dcterms:W3CDTF">2019-12-17T13:11:00Z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Meeting Materials - Advisory or Board</vt:lpwstr>
  </property>
  <property fmtid="{D5CDD505-2E9C-101B-9397-08002B2CF9AE}" pid="3" name="ContentTypeId">
    <vt:lpwstr>0x010100925E855060E0DD499F8BF68706E62A47</vt:lpwstr>
  </property>
  <property fmtid="{D5CDD505-2E9C-101B-9397-08002B2CF9AE}" pid="4" name="_dlc_DocIdItemGuid">
    <vt:lpwstr>06ab6505-fb28-4247-9291-772246c81eaf</vt:lpwstr>
  </property>
</Properties>
</file>